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BD0C3" w14:textId="77777777" w:rsidR="008F6288" w:rsidRPr="008F6288" w:rsidRDefault="008F6288" w:rsidP="008F6288">
      <w:pPr>
        <w:rPr>
          <w:rFonts w:ascii="Georgia" w:hAnsi="Georgia" w:cs="Arial"/>
          <w:b/>
          <w:bCs/>
          <w:color w:val="002B45"/>
          <w:sz w:val="32"/>
          <w:szCs w:val="28"/>
        </w:rPr>
      </w:pPr>
      <w:r w:rsidRPr="008F6288">
        <w:rPr>
          <w:rFonts w:ascii="Georgia" w:hAnsi="Georgia" w:cs="Arial"/>
          <w:b/>
          <w:bCs/>
          <w:color w:val="002B45"/>
          <w:sz w:val="32"/>
          <w:szCs w:val="28"/>
        </w:rPr>
        <w:t>Homeopathy – how does it work?</w:t>
      </w:r>
    </w:p>
    <w:p w14:paraId="27A49FC2" w14:textId="77777777" w:rsidR="008F6288" w:rsidRPr="008F6288" w:rsidRDefault="008F6288" w:rsidP="008F6288">
      <w:pPr>
        <w:rPr>
          <w:rFonts w:ascii="Georgia" w:hAnsi="Georgia" w:cs="Arial"/>
        </w:rPr>
      </w:pPr>
    </w:p>
    <w:p w14:paraId="7191A3EC" w14:textId="77777777" w:rsidR="008F6288" w:rsidRPr="008F6288" w:rsidRDefault="008F6288" w:rsidP="008F6288">
      <w:pPr>
        <w:rPr>
          <w:rFonts w:ascii="Georgia" w:hAnsi="Georgia" w:cs="Arial"/>
        </w:rPr>
      </w:pPr>
      <w:r w:rsidRPr="008F6288">
        <w:rPr>
          <w:rFonts w:ascii="Georgia" w:hAnsi="Georgia" w:cs="Arial"/>
        </w:rPr>
        <w:t xml:space="preserve">One of the most frequently asked questions of homeopathy is how it works. This document summarises existing and ongoing research into the mechanism of action of homeopathy - that is the principles behind the effect of homeopathic medicines. It looks at both theoretical models and experimental approaches. </w:t>
      </w:r>
    </w:p>
    <w:p w14:paraId="7B4A9BC0" w14:textId="77777777" w:rsidR="008F6288" w:rsidRPr="008F6288" w:rsidRDefault="008F6288" w:rsidP="008F6288">
      <w:pPr>
        <w:rPr>
          <w:rFonts w:ascii="Georgia" w:hAnsi="Georgia" w:cs="Arial"/>
        </w:rPr>
      </w:pPr>
    </w:p>
    <w:p w14:paraId="7846213D" w14:textId="77777777" w:rsidR="008F6288" w:rsidRPr="008F6288" w:rsidRDefault="008F6288" w:rsidP="008F6288">
      <w:pPr>
        <w:numPr>
          <w:ilvl w:val="0"/>
          <w:numId w:val="38"/>
        </w:numPr>
        <w:spacing w:line="240" w:lineRule="auto"/>
        <w:rPr>
          <w:rFonts w:ascii="Georgia" w:hAnsi="Georgia" w:cs="Arial"/>
          <w:b/>
          <w:bCs/>
          <w:sz w:val="28"/>
        </w:rPr>
      </w:pPr>
      <w:r w:rsidRPr="008F6288">
        <w:rPr>
          <w:rFonts w:ascii="Georgia" w:hAnsi="Georgia" w:cs="Arial"/>
          <w:b/>
          <w:bCs/>
          <w:sz w:val="28"/>
        </w:rPr>
        <w:t>The mechanism of action: explanatory models and theories</w:t>
      </w:r>
    </w:p>
    <w:p w14:paraId="3576112E" w14:textId="77777777" w:rsidR="008F6288" w:rsidRPr="008F6288" w:rsidRDefault="008F6288" w:rsidP="008F6288">
      <w:pPr>
        <w:rPr>
          <w:rFonts w:ascii="Georgia" w:hAnsi="Georgia" w:cs="Arial"/>
        </w:rPr>
      </w:pPr>
      <w:r w:rsidRPr="008F6288">
        <w:rPr>
          <w:rFonts w:ascii="Georgia" w:hAnsi="Georgia" w:cs="Arial"/>
          <w:b/>
          <w:bCs/>
        </w:rPr>
        <w:t>1.1</w:t>
      </w:r>
      <w:r w:rsidRPr="008F6288">
        <w:rPr>
          <w:rFonts w:ascii="Georgia" w:hAnsi="Georgia" w:cs="Arial"/>
        </w:rPr>
        <w:t xml:space="preserve"> </w:t>
      </w:r>
      <w:r w:rsidRPr="008F6288">
        <w:rPr>
          <w:rFonts w:ascii="Georgia" w:hAnsi="Georgia" w:cs="Arial"/>
          <w:b/>
        </w:rPr>
        <w:t>Lenger</w:t>
      </w:r>
      <w:r w:rsidRPr="008F6288">
        <w:rPr>
          <w:rStyle w:val="EndnoteReference"/>
          <w:rFonts w:ascii="Georgia" w:hAnsi="Georgia" w:cs="Arial"/>
        </w:rPr>
        <w:endnoteReference w:id="1"/>
      </w:r>
      <w:r w:rsidRPr="008F6288">
        <w:rPr>
          <w:rFonts w:ascii="Georgia" w:hAnsi="Georgia" w:cs="Arial"/>
          <w:vertAlign w:val="superscript"/>
        </w:rPr>
        <w:t>,</w:t>
      </w:r>
      <w:r w:rsidRPr="008F6288">
        <w:rPr>
          <w:rStyle w:val="EndnoteReference"/>
          <w:rFonts w:ascii="Georgia" w:hAnsi="Georgia" w:cs="Arial"/>
        </w:rPr>
        <w:endnoteReference w:id="2"/>
      </w:r>
      <w:r w:rsidRPr="008F6288">
        <w:rPr>
          <w:rFonts w:ascii="Georgia" w:hAnsi="Georgia" w:cs="Arial"/>
          <w:vertAlign w:val="superscript"/>
        </w:rPr>
        <w:t>,</w:t>
      </w:r>
      <w:r w:rsidRPr="008F6288">
        <w:rPr>
          <w:rStyle w:val="EndnoteReference"/>
          <w:rFonts w:ascii="Georgia" w:hAnsi="Georgia" w:cs="Arial"/>
        </w:rPr>
        <w:endnoteReference w:id="3"/>
      </w:r>
      <w:r w:rsidRPr="008F6288">
        <w:rPr>
          <w:rFonts w:ascii="Georgia" w:hAnsi="Georgia" w:cs="Arial"/>
          <w:b/>
        </w:rPr>
        <w:t xml:space="preserve"> </w:t>
      </w:r>
      <w:r w:rsidRPr="008F6288">
        <w:rPr>
          <w:rFonts w:ascii="Georgia" w:hAnsi="Georgia" w:cs="Arial"/>
        </w:rPr>
        <w:t xml:space="preserve">assumes that the effect of homeopathic dilutions is based on the </w:t>
      </w:r>
      <w:r w:rsidRPr="008F6288">
        <w:rPr>
          <w:rFonts w:ascii="Georgia" w:hAnsi="Georgia" w:cs="Arial"/>
          <w:b/>
        </w:rPr>
        <w:t>release of biophotons from the parent drug</w:t>
      </w:r>
      <w:r w:rsidRPr="008F6288">
        <w:rPr>
          <w:rFonts w:ascii="Georgia" w:hAnsi="Georgia" w:cs="Arial"/>
        </w:rPr>
        <w:t>, whose strength increases with increasing dilution. This leads to a resonance (vibration amplification) phenomenon between the biophoton frequency of the drug and the frequency in the body made out of balance by an illness.</w:t>
      </w:r>
    </w:p>
    <w:p w14:paraId="0D7DDA78" w14:textId="77777777" w:rsidR="008F6288" w:rsidRPr="008F6288" w:rsidRDefault="008F6288" w:rsidP="008F6288">
      <w:pPr>
        <w:rPr>
          <w:rFonts w:ascii="Georgia" w:hAnsi="Georgia" w:cs="Arial"/>
        </w:rPr>
      </w:pPr>
    </w:p>
    <w:p w14:paraId="3032EF62" w14:textId="77777777" w:rsidR="008F6288" w:rsidRPr="008F6288" w:rsidRDefault="008F6288" w:rsidP="008F6288">
      <w:pPr>
        <w:rPr>
          <w:rFonts w:ascii="Georgia" w:hAnsi="Georgia" w:cs="Arial"/>
        </w:rPr>
      </w:pPr>
      <w:r w:rsidRPr="008F6288">
        <w:rPr>
          <w:rFonts w:ascii="Georgia" w:hAnsi="Georgia" w:cs="Arial"/>
          <w:b/>
          <w:bCs/>
        </w:rPr>
        <w:t>1.2</w:t>
      </w:r>
      <w:r w:rsidRPr="008F6288">
        <w:rPr>
          <w:rFonts w:ascii="Georgia" w:hAnsi="Georgia" w:cs="Arial"/>
          <w:b/>
        </w:rPr>
        <w:t xml:space="preserve"> </w:t>
      </w:r>
      <w:r w:rsidRPr="008F6288">
        <w:rPr>
          <w:rFonts w:ascii="Georgia" w:hAnsi="Georgia" w:cs="Arial"/>
        </w:rPr>
        <w:t xml:space="preserve">An ongoing scientific debate focuses on the </w:t>
      </w:r>
      <w:r w:rsidRPr="008F6288">
        <w:rPr>
          <w:rFonts w:ascii="Georgia" w:hAnsi="Georgia" w:cs="Arial"/>
          <w:b/>
        </w:rPr>
        <w:t>memory of water</w:t>
      </w:r>
      <w:r w:rsidRPr="008F6288">
        <w:rPr>
          <w:rFonts w:ascii="Georgia" w:hAnsi="Georgia" w:cs="Arial"/>
        </w:rPr>
        <w:t xml:space="preserve">. </w:t>
      </w:r>
      <w:r w:rsidRPr="008F6288">
        <w:rPr>
          <w:rFonts w:ascii="Georgia" w:hAnsi="Georgia" w:cs="Arial"/>
          <w:bCs/>
        </w:rPr>
        <w:t xml:space="preserve">According to </w:t>
      </w:r>
      <w:r w:rsidRPr="008F6288">
        <w:rPr>
          <w:rFonts w:ascii="Georgia" w:hAnsi="Georgia" w:cs="Arial"/>
          <w:b/>
          <w:bCs/>
        </w:rPr>
        <w:t>imprint theory</w:t>
      </w:r>
      <w:r w:rsidRPr="008F6288">
        <w:rPr>
          <w:rFonts w:ascii="Georgia" w:hAnsi="Georgia" w:cs="Arial"/>
          <w:bCs/>
        </w:rPr>
        <w:t xml:space="preserve"> by </w:t>
      </w:r>
      <w:r w:rsidRPr="008F6288">
        <w:rPr>
          <w:rFonts w:ascii="Georgia" w:hAnsi="Georgia" w:cs="Arial"/>
          <w:b/>
          <w:bCs/>
        </w:rPr>
        <w:t>Barnard and Stephenson</w:t>
      </w:r>
      <w:r w:rsidRPr="008F6288">
        <w:rPr>
          <w:rStyle w:val="EndnoteReference"/>
          <w:rFonts w:ascii="Georgia" w:hAnsi="Georgia" w:cs="Arial"/>
          <w:bCs/>
        </w:rPr>
        <w:endnoteReference w:id="4"/>
      </w:r>
      <w:r w:rsidRPr="008F6288">
        <w:rPr>
          <w:rFonts w:ascii="Georgia" w:hAnsi="Georgia" w:cs="Arial"/>
          <w:bCs/>
        </w:rPr>
        <w:t>,</w:t>
      </w:r>
      <w:r w:rsidRPr="008F6288">
        <w:rPr>
          <w:rFonts w:ascii="Georgia" w:hAnsi="Georgia" w:cs="Arial"/>
        </w:rPr>
        <w:t xml:space="preserve"> long polymer chains (chain-like chemical compounds), which come from the starting substance, form in the dissolution medium in a specific manner depending on the particular parent drug despite increasing dilution. </w:t>
      </w:r>
      <w:r w:rsidRPr="008F6288">
        <w:rPr>
          <w:rFonts w:ascii="Georgia" w:hAnsi="Georgia" w:cs="Arial"/>
          <w:bCs/>
        </w:rPr>
        <w:t xml:space="preserve">This may explain the memory of water (or of the homeopathic dilution medium such as a water alcohol mixture or lactose). </w:t>
      </w:r>
      <w:r w:rsidRPr="008F6288">
        <w:rPr>
          <w:rFonts w:ascii="Georgia" w:hAnsi="Georgia" w:cs="Arial"/>
        </w:rPr>
        <w:t xml:space="preserve">Likewise, </w:t>
      </w:r>
      <w:r w:rsidRPr="008F6288">
        <w:rPr>
          <w:rFonts w:ascii="Georgia" w:hAnsi="Georgia" w:cs="Arial"/>
          <w:b/>
        </w:rPr>
        <w:t>water cluster formation</w:t>
      </w:r>
      <w:r w:rsidRPr="008F6288">
        <w:rPr>
          <w:rFonts w:ascii="Georgia" w:hAnsi="Georgia" w:cs="Arial"/>
        </w:rPr>
        <w:t xml:space="preserve"> assumes water molecules form larger clusters which may be responsible for the storage of information.</w:t>
      </w:r>
    </w:p>
    <w:p w14:paraId="2D164883" w14:textId="77777777" w:rsidR="008F6288" w:rsidRPr="008F6288" w:rsidRDefault="008F6288" w:rsidP="008F6288">
      <w:pPr>
        <w:rPr>
          <w:rFonts w:ascii="Georgia" w:hAnsi="Georgia" w:cs="Arial"/>
        </w:rPr>
      </w:pPr>
    </w:p>
    <w:p w14:paraId="4AE88F1F" w14:textId="77777777" w:rsidR="008F6288" w:rsidRPr="008F6288" w:rsidRDefault="008F6288" w:rsidP="008F6288">
      <w:pPr>
        <w:rPr>
          <w:rFonts w:ascii="Georgia" w:hAnsi="Georgia" w:cs="Arial"/>
        </w:rPr>
      </w:pPr>
      <w:r w:rsidRPr="008F6288">
        <w:rPr>
          <w:rFonts w:ascii="Georgia" w:hAnsi="Georgia" w:cs="Arial"/>
          <w:b/>
          <w:bCs/>
        </w:rPr>
        <w:t>1.3</w:t>
      </w:r>
      <w:r w:rsidRPr="008F6288">
        <w:rPr>
          <w:rFonts w:ascii="Georgia" w:hAnsi="Georgia" w:cs="Arial"/>
        </w:rPr>
        <w:t xml:space="preserve"> There is also discussion of the relevance of </w:t>
      </w:r>
      <w:r w:rsidRPr="008F6288">
        <w:rPr>
          <w:rFonts w:ascii="Georgia" w:hAnsi="Georgia" w:cs="Arial"/>
          <w:b/>
        </w:rPr>
        <w:t>quantum theory</w:t>
      </w:r>
      <w:r w:rsidRPr="008F6288">
        <w:rPr>
          <w:rFonts w:ascii="Georgia" w:hAnsi="Georgia" w:cs="Arial"/>
        </w:rPr>
        <w:t>, which goes beyond the conventional ideas of classical physics, with mathematical formula systems developed by</w:t>
      </w:r>
      <w:r w:rsidRPr="008F6288">
        <w:rPr>
          <w:rFonts w:ascii="Georgia" w:hAnsi="Georgia" w:cs="Arial"/>
          <w:b/>
        </w:rPr>
        <w:t xml:space="preserve"> Atmanspacher</w:t>
      </w:r>
      <w:r w:rsidRPr="008F6288">
        <w:rPr>
          <w:rFonts w:ascii="Georgia" w:hAnsi="Georgia" w:cs="Arial"/>
        </w:rPr>
        <w:t xml:space="preserve">, </w:t>
      </w:r>
      <w:r w:rsidRPr="008F6288">
        <w:rPr>
          <w:rFonts w:ascii="Georgia" w:hAnsi="Georgia" w:cs="Arial"/>
          <w:b/>
        </w:rPr>
        <w:t>Römer</w:t>
      </w:r>
      <w:r w:rsidRPr="008F6288">
        <w:rPr>
          <w:rFonts w:ascii="Georgia" w:hAnsi="Georgia" w:cs="Arial"/>
        </w:rPr>
        <w:t xml:space="preserve"> and </w:t>
      </w:r>
      <w:r w:rsidRPr="008F6288">
        <w:rPr>
          <w:rFonts w:ascii="Georgia" w:hAnsi="Georgia" w:cs="Arial"/>
          <w:b/>
        </w:rPr>
        <w:t>Walach</w:t>
      </w:r>
      <w:r w:rsidRPr="008F6288">
        <w:rPr>
          <w:rStyle w:val="EndnoteReference"/>
          <w:rFonts w:ascii="Georgia" w:hAnsi="Georgia" w:cs="Arial"/>
        </w:rPr>
        <w:endnoteReference w:id="5"/>
      </w:r>
      <w:r w:rsidRPr="008F6288">
        <w:rPr>
          <w:rFonts w:ascii="Georgia" w:hAnsi="Georgia" w:cs="Arial"/>
        </w:rPr>
        <w:t>.</w:t>
      </w:r>
      <w:r w:rsidRPr="008F6288">
        <w:rPr>
          <w:rFonts w:ascii="Georgia" w:hAnsi="Georgia" w:cs="Arial"/>
          <w:b/>
        </w:rPr>
        <w:t xml:space="preserve"> </w:t>
      </w:r>
      <w:r w:rsidRPr="008F6288">
        <w:rPr>
          <w:rFonts w:ascii="Georgia" w:hAnsi="Georgia" w:cs="Arial"/>
        </w:rPr>
        <w:t>However, experimental implementation of these ideas continues to fail.</w:t>
      </w:r>
    </w:p>
    <w:p w14:paraId="56C787AE" w14:textId="77777777" w:rsidR="008F6288" w:rsidRPr="008F6288" w:rsidRDefault="008F6288" w:rsidP="008F6288">
      <w:pPr>
        <w:rPr>
          <w:rFonts w:ascii="Georgia" w:hAnsi="Georgia" w:cs="Arial"/>
          <w:b/>
          <w:bCs/>
        </w:rPr>
      </w:pPr>
    </w:p>
    <w:p w14:paraId="3FACFBDF" w14:textId="77777777" w:rsidR="008F6288" w:rsidRPr="008F6288" w:rsidRDefault="008F6288" w:rsidP="008F6288">
      <w:pPr>
        <w:rPr>
          <w:rFonts w:ascii="Georgia" w:hAnsi="Georgia" w:cs="Arial"/>
        </w:rPr>
      </w:pPr>
      <w:r w:rsidRPr="008F6288">
        <w:rPr>
          <w:rFonts w:ascii="Georgia" w:hAnsi="Georgia" w:cs="Arial"/>
          <w:b/>
          <w:bCs/>
        </w:rPr>
        <w:t>1.4</w:t>
      </w:r>
      <w:r w:rsidRPr="008F6288">
        <w:rPr>
          <w:rFonts w:ascii="Georgia" w:hAnsi="Georgia" w:cs="Arial"/>
          <w:bCs/>
        </w:rPr>
        <w:t xml:space="preserve"> There has been in-depth discussion about whether, despite the many dilution steps for homeopathic high potencies, one can assume that there is actually a remaining concentration of the starting material. S</w:t>
      </w:r>
      <w:r w:rsidRPr="008F6288">
        <w:rPr>
          <w:rFonts w:ascii="Georgia" w:hAnsi="Georgia" w:cs="Arial"/>
        </w:rPr>
        <w:t xml:space="preserve">tudies using methods developed in the context of </w:t>
      </w:r>
      <w:r w:rsidRPr="008F6288">
        <w:rPr>
          <w:rFonts w:ascii="Georgia" w:hAnsi="Georgia" w:cs="Arial"/>
          <w:b/>
        </w:rPr>
        <w:t>nano research</w:t>
      </w:r>
      <w:r w:rsidRPr="008F6288">
        <w:rPr>
          <w:rStyle w:val="EndnoteReference"/>
          <w:rFonts w:ascii="Georgia" w:hAnsi="Georgia" w:cs="Arial"/>
        </w:rPr>
        <w:endnoteReference w:id="6"/>
      </w:r>
      <w:r w:rsidRPr="008F6288">
        <w:rPr>
          <w:rFonts w:ascii="Georgia" w:hAnsi="Georgia" w:cs="Arial"/>
          <w:vertAlign w:val="superscript"/>
        </w:rPr>
        <w:t>,</w:t>
      </w:r>
      <w:r w:rsidRPr="008F6288">
        <w:rPr>
          <w:rStyle w:val="EndnoteReference"/>
          <w:rFonts w:ascii="Georgia" w:hAnsi="Georgia" w:cs="Arial"/>
        </w:rPr>
        <w:endnoteReference w:id="7"/>
      </w:r>
      <w:r w:rsidRPr="008F6288">
        <w:rPr>
          <w:rFonts w:ascii="Georgia" w:hAnsi="Georgia" w:cs="Arial"/>
        </w:rPr>
        <w:t xml:space="preserve"> may show that above a certain dilution step, a relatively constant concentration of the starting material in the form of nanoparticles (particles in the range of about 1 to 100 x 10</w:t>
      </w:r>
      <w:r w:rsidRPr="008F6288">
        <w:rPr>
          <w:rFonts w:ascii="Georgia" w:hAnsi="Georgia" w:cs="Arial"/>
          <w:vertAlign w:val="superscript"/>
        </w:rPr>
        <w:t>-9</w:t>
      </w:r>
      <w:r w:rsidRPr="008F6288">
        <w:rPr>
          <w:rFonts w:ascii="Georgia" w:hAnsi="Georgia" w:cs="Arial"/>
        </w:rPr>
        <w:t xml:space="preserve"> m) is established.</w:t>
      </w:r>
    </w:p>
    <w:p w14:paraId="6A4775CC" w14:textId="77777777" w:rsidR="008F6288" w:rsidRPr="008F6288" w:rsidRDefault="008F6288" w:rsidP="008F6288">
      <w:pPr>
        <w:rPr>
          <w:rFonts w:ascii="Georgia" w:hAnsi="Georgia" w:cs="Arial"/>
        </w:rPr>
      </w:pPr>
    </w:p>
    <w:p w14:paraId="527F0081" w14:textId="77777777" w:rsidR="008F6288" w:rsidRPr="008F6288" w:rsidRDefault="008F6288" w:rsidP="008F6288">
      <w:pPr>
        <w:numPr>
          <w:ilvl w:val="0"/>
          <w:numId w:val="38"/>
        </w:numPr>
        <w:spacing w:line="240" w:lineRule="auto"/>
        <w:rPr>
          <w:rFonts w:ascii="Georgia" w:hAnsi="Georgia" w:cs="Arial"/>
          <w:b/>
          <w:bCs/>
          <w:sz w:val="28"/>
        </w:rPr>
      </w:pPr>
      <w:r w:rsidRPr="008F6288">
        <w:rPr>
          <w:rFonts w:ascii="Georgia" w:hAnsi="Georgia" w:cs="Arial"/>
          <w:b/>
          <w:bCs/>
          <w:sz w:val="28"/>
        </w:rPr>
        <w:t xml:space="preserve">The mechanism of action: experimental research </w:t>
      </w:r>
    </w:p>
    <w:p w14:paraId="6D433631" w14:textId="77777777" w:rsidR="008F6288" w:rsidRPr="008F6288" w:rsidRDefault="008F6288" w:rsidP="008F6288">
      <w:pPr>
        <w:rPr>
          <w:rFonts w:ascii="Georgia" w:hAnsi="Georgia" w:cs="Arial"/>
        </w:rPr>
      </w:pPr>
      <w:r w:rsidRPr="008F6288">
        <w:rPr>
          <w:rFonts w:ascii="Georgia" w:hAnsi="Georgia" w:cs="Arial"/>
          <w:b/>
          <w:bCs/>
        </w:rPr>
        <w:t>2.1</w:t>
      </w:r>
      <w:r w:rsidRPr="008F6288">
        <w:rPr>
          <w:rFonts w:ascii="Georgia" w:hAnsi="Georgia" w:cs="Arial"/>
        </w:rPr>
        <w:t xml:space="preserve"> </w:t>
      </w:r>
      <w:r w:rsidRPr="008F6288">
        <w:rPr>
          <w:rFonts w:ascii="Georgia" w:hAnsi="Georgia" w:cs="Arial"/>
          <w:b/>
        </w:rPr>
        <w:t>Van Wijk</w:t>
      </w:r>
      <w:r w:rsidRPr="008F6288">
        <w:rPr>
          <w:rFonts w:ascii="Georgia" w:hAnsi="Georgia" w:cs="Arial"/>
        </w:rPr>
        <w:t xml:space="preserve"> and </w:t>
      </w:r>
      <w:r w:rsidRPr="008F6288">
        <w:rPr>
          <w:rFonts w:ascii="Georgia" w:hAnsi="Georgia" w:cs="Arial"/>
          <w:b/>
        </w:rPr>
        <w:t>Wiegant</w:t>
      </w:r>
      <w:r w:rsidRPr="008F6288">
        <w:rPr>
          <w:rStyle w:val="EndnoteReference"/>
          <w:rFonts w:ascii="Georgia" w:hAnsi="Georgia" w:cs="Arial"/>
        </w:rPr>
        <w:endnoteReference w:id="8"/>
      </w:r>
      <w:r w:rsidRPr="008F6288">
        <w:rPr>
          <w:rFonts w:ascii="Georgia" w:hAnsi="Georgia" w:cs="Arial"/>
        </w:rPr>
        <w:t xml:space="preserve"> worked on </w:t>
      </w:r>
      <w:r w:rsidRPr="008F6288">
        <w:rPr>
          <w:rFonts w:ascii="Georgia" w:hAnsi="Georgia" w:cs="Arial"/>
          <w:b/>
        </w:rPr>
        <w:t>scientific evidence of the similarity principle</w:t>
      </w:r>
      <w:r w:rsidRPr="008F6288">
        <w:rPr>
          <w:rFonts w:ascii="Georgia" w:hAnsi="Georgia" w:cs="Arial"/>
        </w:rPr>
        <w:t>. They examined the recovery process of cell cultures previously exposed to different cell toxins (arsenic and cadmium) or damaging heat and were able to show that previously damaged cell systems recover faster when they are again confronted with the harmful substance in an attenuated form.</w:t>
      </w:r>
    </w:p>
    <w:p w14:paraId="4682F421" w14:textId="77777777" w:rsidR="008F6288" w:rsidRPr="008F6288" w:rsidRDefault="008F6288" w:rsidP="008F6288">
      <w:pPr>
        <w:rPr>
          <w:rFonts w:ascii="Georgia" w:hAnsi="Georgia" w:cs="Arial"/>
        </w:rPr>
      </w:pPr>
    </w:p>
    <w:p w14:paraId="28DC796B" w14:textId="77777777" w:rsidR="008F6288" w:rsidRPr="008F6288" w:rsidRDefault="008F6288" w:rsidP="008F6288">
      <w:pPr>
        <w:rPr>
          <w:rFonts w:ascii="Georgia" w:hAnsi="Georgia" w:cs="Arial"/>
        </w:rPr>
      </w:pPr>
      <w:r w:rsidRPr="008F6288">
        <w:rPr>
          <w:rFonts w:ascii="Georgia" w:hAnsi="Georgia" w:cs="Arial"/>
          <w:b/>
          <w:bCs/>
        </w:rPr>
        <w:t>2.2</w:t>
      </w:r>
      <w:r w:rsidRPr="008F6288">
        <w:rPr>
          <w:rFonts w:ascii="Georgia" w:hAnsi="Georgia" w:cs="Arial"/>
        </w:rPr>
        <w:t xml:space="preserve"> Numerous </w:t>
      </w:r>
      <w:r w:rsidRPr="008F6288">
        <w:rPr>
          <w:rFonts w:ascii="Georgia" w:hAnsi="Georgia" w:cs="Arial"/>
          <w:b/>
        </w:rPr>
        <w:t>experiments</w:t>
      </w:r>
      <w:r w:rsidRPr="008F6288">
        <w:rPr>
          <w:rFonts w:ascii="Georgia" w:hAnsi="Georgia" w:cs="Arial"/>
        </w:rPr>
        <w:t xml:space="preserve"> have been conducted to </w:t>
      </w:r>
      <w:r w:rsidRPr="008F6288">
        <w:rPr>
          <w:rFonts w:ascii="Georgia" w:hAnsi="Georgia" w:cs="Arial"/>
          <w:b/>
        </w:rPr>
        <w:t>decode homeopathy’s physical mechanism of action</w:t>
      </w:r>
      <w:r w:rsidRPr="008F6288">
        <w:rPr>
          <w:rFonts w:ascii="Georgia" w:hAnsi="Georgia" w:cs="Arial"/>
        </w:rPr>
        <w:t xml:space="preserve">. High-potency medicines have been compared with placebo mainly using standard spectroscopic methods, to draw conclusions about physical differences. The meta-study by </w:t>
      </w:r>
      <w:r w:rsidRPr="008F6288">
        <w:rPr>
          <w:rFonts w:ascii="Georgia" w:hAnsi="Georgia" w:cs="Arial"/>
          <w:b/>
        </w:rPr>
        <w:t>Witt</w:t>
      </w:r>
      <w:r w:rsidRPr="008F6288">
        <w:rPr>
          <w:rStyle w:val="EndnoteReference"/>
          <w:rFonts w:ascii="Georgia" w:hAnsi="Georgia" w:cs="Arial"/>
        </w:rPr>
        <w:endnoteReference w:id="9"/>
      </w:r>
      <w:r w:rsidRPr="008F6288">
        <w:rPr>
          <w:rFonts w:ascii="Georgia" w:hAnsi="Georgia" w:cs="Arial"/>
        </w:rPr>
        <w:t xml:space="preserve"> provides a detailed overview of the different </w:t>
      </w:r>
      <w:r w:rsidRPr="008F6288">
        <w:rPr>
          <w:rFonts w:ascii="Georgia" w:hAnsi="Georgia" w:cs="Arial"/>
          <w:b/>
        </w:rPr>
        <w:t>experimental physical studies</w:t>
      </w:r>
      <w:r w:rsidRPr="008F6288">
        <w:rPr>
          <w:rFonts w:ascii="Georgia" w:hAnsi="Georgia" w:cs="Arial"/>
        </w:rPr>
        <w:t>.</w:t>
      </w:r>
    </w:p>
    <w:p w14:paraId="2D2AD923" w14:textId="77777777" w:rsidR="008F6288" w:rsidRPr="008F6288" w:rsidRDefault="008F6288" w:rsidP="008F6288">
      <w:pPr>
        <w:rPr>
          <w:rFonts w:ascii="Georgia" w:hAnsi="Georgia" w:cs="Arial"/>
        </w:rPr>
      </w:pPr>
    </w:p>
    <w:p w14:paraId="5FD8D055" w14:textId="77777777" w:rsidR="008F6288" w:rsidRPr="008F6288" w:rsidRDefault="008F6288" w:rsidP="008F6288">
      <w:pPr>
        <w:rPr>
          <w:rFonts w:ascii="Georgia" w:hAnsi="Georgia" w:cs="Arial"/>
        </w:rPr>
      </w:pPr>
      <w:r w:rsidRPr="008F6288">
        <w:rPr>
          <w:rFonts w:ascii="Georgia" w:hAnsi="Georgia" w:cs="Arial"/>
          <w:b/>
          <w:bCs/>
        </w:rPr>
        <w:lastRenderedPageBreak/>
        <w:t>2.3</w:t>
      </w:r>
      <w:r w:rsidRPr="008F6288">
        <w:rPr>
          <w:rFonts w:ascii="Georgia" w:hAnsi="Georgia" w:cs="Arial"/>
          <w:bCs/>
        </w:rPr>
        <w:t xml:space="preserve"> Statistically significant results were obtained with </w:t>
      </w:r>
      <w:r w:rsidRPr="008F6288">
        <w:rPr>
          <w:rFonts w:ascii="Georgia" w:hAnsi="Georgia" w:cs="Arial"/>
          <w:b/>
          <w:bCs/>
        </w:rPr>
        <w:t>test systems that work with plant, animal and cell systems</w:t>
      </w:r>
      <w:r w:rsidRPr="008F6288">
        <w:rPr>
          <w:rFonts w:ascii="Georgia" w:hAnsi="Georgia" w:cs="Arial"/>
          <w:bCs/>
        </w:rPr>
        <w:t xml:space="preserve">: </w:t>
      </w:r>
      <w:r w:rsidRPr="008F6288">
        <w:rPr>
          <w:rFonts w:ascii="Georgia" w:hAnsi="Georgia" w:cs="Arial"/>
          <w:b/>
        </w:rPr>
        <w:t>Endler</w:t>
      </w:r>
      <w:r w:rsidRPr="008F6288">
        <w:rPr>
          <w:rFonts w:ascii="Georgia" w:hAnsi="Georgia" w:cs="Arial"/>
        </w:rPr>
        <w:t>’s research seeks to determine whether the administration of homeopathically prepared thyroxine cancels the accelerated transformation from a tadpole into a frog through material thyroxine. Endler et al.</w:t>
      </w:r>
      <w:r w:rsidRPr="008F6288">
        <w:rPr>
          <w:rStyle w:val="EndnoteReference"/>
          <w:rFonts w:ascii="Georgia" w:hAnsi="Georgia" w:cs="Arial"/>
        </w:rPr>
        <w:endnoteReference w:id="10"/>
      </w:r>
      <w:r w:rsidRPr="008F6288">
        <w:rPr>
          <w:rFonts w:ascii="Georgia" w:hAnsi="Georgia" w:cs="Arial"/>
          <w:vertAlign w:val="superscript"/>
        </w:rPr>
        <w:t>,</w:t>
      </w:r>
      <w:r w:rsidRPr="008F6288">
        <w:rPr>
          <w:rStyle w:val="EndnoteReference"/>
          <w:rFonts w:ascii="Georgia" w:hAnsi="Georgia" w:cs="Arial"/>
        </w:rPr>
        <w:endnoteReference w:id="11"/>
      </w:r>
      <w:r w:rsidRPr="008F6288">
        <w:rPr>
          <w:rFonts w:ascii="Georgia" w:hAnsi="Georgia" w:cs="Arial"/>
          <w:vertAlign w:val="superscript"/>
        </w:rPr>
        <w:t>,</w:t>
      </w:r>
      <w:r w:rsidRPr="008F6288">
        <w:rPr>
          <w:rStyle w:val="EndnoteReference"/>
          <w:rFonts w:ascii="Georgia" w:hAnsi="Georgia" w:cs="Arial"/>
        </w:rPr>
        <w:endnoteReference w:id="12"/>
      </w:r>
      <w:r w:rsidRPr="008F6288">
        <w:rPr>
          <w:rFonts w:ascii="Georgia" w:hAnsi="Georgia" w:cs="Arial"/>
          <w:vertAlign w:val="superscript"/>
        </w:rPr>
        <w:t>,</w:t>
      </w:r>
      <w:r w:rsidRPr="008F6288">
        <w:rPr>
          <w:rStyle w:val="EndnoteReference"/>
          <w:rFonts w:ascii="Georgia" w:hAnsi="Georgia" w:cs="Arial"/>
        </w:rPr>
        <w:endnoteReference w:id="13"/>
      </w:r>
      <w:r w:rsidRPr="008F6288">
        <w:rPr>
          <w:rFonts w:ascii="Georgia" w:hAnsi="Georgia" w:cs="Arial"/>
          <w:vertAlign w:val="superscript"/>
        </w:rPr>
        <w:t>,</w:t>
      </w:r>
      <w:r w:rsidRPr="008F6288">
        <w:rPr>
          <w:rStyle w:val="EndnoteReference"/>
          <w:rFonts w:ascii="Georgia" w:hAnsi="Georgia" w:cs="Arial"/>
        </w:rPr>
        <w:endnoteReference w:id="14"/>
      </w:r>
      <w:r w:rsidRPr="008F6288">
        <w:rPr>
          <w:rFonts w:ascii="Georgia" w:hAnsi="Georgia" w:cs="Arial"/>
        </w:rPr>
        <w:t xml:space="preserve"> were able to show that the tadpoles treated with a homeopathic high potency actually developed more slowly than those treated with placebo.</w:t>
      </w:r>
    </w:p>
    <w:p w14:paraId="1BBD24B3" w14:textId="77777777" w:rsidR="008F6288" w:rsidRPr="008F6288" w:rsidRDefault="008F6288" w:rsidP="008F6288">
      <w:pPr>
        <w:rPr>
          <w:rFonts w:ascii="Georgia" w:hAnsi="Georgia" w:cs="Arial"/>
        </w:rPr>
      </w:pPr>
    </w:p>
    <w:p w14:paraId="42359602" w14:textId="77777777" w:rsidR="008F6288" w:rsidRPr="008F6288" w:rsidRDefault="008F6288" w:rsidP="008F6288">
      <w:pPr>
        <w:rPr>
          <w:rFonts w:ascii="Georgia" w:hAnsi="Georgia" w:cs="Arial"/>
        </w:rPr>
      </w:pPr>
      <w:r w:rsidRPr="008F6288">
        <w:rPr>
          <w:rFonts w:ascii="Georgia" w:hAnsi="Georgia" w:cs="Arial"/>
          <w:b/>
        </w:rPr>
        <w:t>2.4</w:t>
      </w:r>
      <w:r w:rsidRPr="008F6288">
        <w:rPr>
          <w:rFonts w:ascii="Georgia" w:hAnsi="Georgia" w:cs="Arial"/>
        </w:rPr>
        <w:t xml:space="preserve"> </w:t>
      </w:r>
      <w:r w:rsidRPr="008F6288">
        <w:rPr>
          <w:rFonts w:ascii="Georgia" w:hAnsi="Georgia" w:cs="Arial"/>
          <w:b/>
        </w:rPr>
        <w:t xml:space="preserve">Baumgartner’s </w:t>
      </w:r>
      <w:r w:rsidRPr="008F6288">
        <w:rPr>
          <w:rFonts w:ascii="Georgia" w:hAnsi="Georgia" w:cs="Arial"/>
        </w:rPr>
        <w:t>research focuses on ultra-high dilutions</w:t>
      </w:r>
      <w:r w:rsidRPr="008F6288">
        <w:rPr>
          <w:rStyle w:val="EndnoteReference"/>
          <w:rFonts w:ascii="Georgia" w:hAnsi="Georgia" w:cs="Arial"/>
        </w:rPr>
        <w:endnoteReference w:id="15"/>
      </w:r>
      <w:r w:rsidRPr="008F6288">
        <w:rPr>
          <w:rStyle w:val="EndnoteReference"/>
          <w:rFonts w:ascii="Georgia" w:hAnsi="Georgia"/>
        </w:rPr>
        <w:t>,</w:t>
      </w:r>
      <w:r w:rsidRPr="008F6288">
        <w:rPr>
          <w:rStyle w:val="EndnoteReference"/>
          <w:rFonts w:ascii="Georgia" w:hAnsi="Georgia" w:cs="Arial"/>
        </w:rPr>
        <w:endnoteReference w:id="16"/>
      </w:r>
      <w:r w:rsidRPr="008F6288">
        <w:rPr>
          <w:rStyle w:val="EndnoteReference"/>
          <w:rFonts w:ascii="Georgia" w:hAnsi="Georgia"/>
        </w:rPr>
        <w:t>,</w:t>
      </w:r>
      <w:r w:rsidRPr="008F6288">
        <w:rPr>
          <w:rStyle w:val="EndnoteReference"/>
          <w:rFonts w:ascii="Georgia" w:hAnsi="Georgia" w:cs="Arial"/>
        </w:rPr>
        <w:endnoteReference w:id="17"/>
      </w:r>
      <w:r w:rsidRPr="008F6288">
        <w:rPr>
          <w:rStyle w:val="EndnoteReference"/>
          <w:rFonts w:ascii="Georgia" w:hAnsi="Georgia"/>
        </w:rPr>
        <w:t>,</w:t>
      </w:r>
      <w:r w:rsidRPr="008F6288">
        <w:rPr>
          <w:rStyle w:val="EndnoteReference"/>
          <w:rFonts w:ascii="Georgia" w:hAnsi="Georgia" w:cs="Arial"/>
        </w:rPr>
        <w:endnoteReference w:id="18"/>
      </w:r>
      <w:r w:rsidRPr="008F6288">
        <w:rPr>
          <w:rFonts w:ascii="Georgia" w:hAnsi="Georgia" w:cs="Arial"/>
        </w:rPr>
        <w:t xml:space="preserve">: Very plausible results that </w:t>
      </w:r>
      <w:r w:rsidRPr="008F6288">
        <w:rPr>
          <w:rFonts w:ascii="Georgia" w:hAnsi="Georgia" w:cs="Arial"/>
          <w:b/>
        </w:rPr>
        <w:t>support the impact of highly potentized homeopathic preparations</w:t>
      </w:r>
      <w:r w:rsidRPr="008F6288">
        <w:rPr>
          <w:rFonts w:ascii="Georgia" w:hAnsi="Georgia" w:cs="Arial"/>
        </w:rPr>
        <w:t xml:space="preserve"> were obtained with a test system consisting of duckweed cultures, a standard system in ecotoxicology (research on environmental toxin).</w:t>
      </w:r>
    </w:p>
    <w:p w14:paraId="1CC8A04C" w14:textId="77777777" w:rsidR="008F6288" w:rsidRPr="008F6288" w:rsidRDefault="008F6288" w:rsidP="008F6288">
      <w:pPr>
        <w:rPr>
          <w:rFonts w:ascii="Georgia" w:hAnsi="Georgia" w:cs="Arial"/>
        </w:rPr>
      </w:pPr>
    </w:p>
    <w:p w14:paraId="4504F3B9" w14:textId="77777777" w:rsidR="008F6288" w:rsidRDefault="008F6288" w:rsidP="008F6288">
      <w:pPr>
        <w:rPr>
          <w:rFonts w:ascii="Georgia" w:hAnsi="Georgia" w:cs="Arial"/>
        </w:rPr>
        <w:sectPr w:rsidR="008F6288" w:rsidSect="002619D8">
          <w:headerReference w:type="even" r:id="rId11"/>
          <w:headerReference w:type="default" r:id="rId12"/>
          <w:footerReference w:type="even" r:id="rId13"/>
          <w:footerReference w:type="default" r:id="rId14"/>
          <w:endnotePr>
            <w:numFmt w:val="decimal"/>
          </w:endnotePr>
          <w:pgSz w:w="11906" w:h="16838"/>
          <w:pgMar w:top="1560" w:right="1440" w:bottom="993" w:left="1276" w:header="0" w:footer="0" w:gutter="0"/>
          <w:cols w:space="708"/>
          <w:docGrid w:linePitch="360"/>
        </w:sectPr>
      </w:pPr>
      <w:r w:rsidRPr="008F6288">
        <w:rPr>
          <w:rFonts w:ascii="Georgia" w:hAnsi="Georgia" w:cs="Arial"/>
        </w:rPr>
        <w:t xml:space="preserve">2.5 </w:t>
      </w:r>
      <w:r w:rsidRPr="008F6288">
        <w:rPr>
          <w:rFonts w:ascii="Georgia" w:hAnsi="Georgia" w:cs="Arial"/>
          <w:b/>
        </w:rPr>
        <w:t>Bellavite</w:t>
      </w:r>
      <w:r w:rsidRPr="008F6288">
        <w:rPr>
          <w:rStyle w:val="EndnoteReference"/>
          <w:rFonts w:ascii="Georgia" w:hAnsi="Georgia" w:cs="Arial"/>
        </w:rPr>
        <w:endnoteReference w:id="19"/>
      </w:r>
      <w:r w:rsidRPr="008F6288">
        <w:rPr>
          <w:rFonts w:ascii="Georgia" w:hAnsi="Georgia" w:cs="Arial"/>
        </w:rPr>
        <w:t xml:space="preserve"> shows that mice treated with homeopathic high </w:t>
      </w:r>
    </w:p>
    <w:p w14:paraId="57BA47B8" w14:textId="344B3A36" w:rsidR="008F6288" w:rsidRPr="008F6288" w:rsidRDefault="008F6288" w:rsidP="008F6288">
      <w:pPr>
        <w:rPr>
          <w:rFonts w:ascii="Georgia" w:hAnsi="Georgia" w:cs="Arial"/>
        </w:rPr>
      </w:pPr>
      <w:r w:rsidRPr="008F6288">
        <w:rPr>
          <w:rFonts w:ascii="Georgia" w:hAnsi="Georgia" w:cs="Arial"/>
        </w:rPr>
        <w:t xml:space="preserve">potency gelsemium showed significantly more active behaviour than placebo-treated mice. </w:t>
      </w:r>
    </w:p>
    <w:p w14:paraId="263C58E6" w14:textId="5F079C49" w:rsidR="008F6288" w:rsidRPr="008F6288" w:rsidRDefault="008F6288" w:rsidP="008F6288">
      <w:pPr>
        <w:rPr>
          <w:rFonts w:ascii="Georgia" w:hAnsi="Georgia" w:cs="Arial"/>
          <w:sz w:val="16"/>
          <w:szCs w:val="16"/>
        </w:rPr>
        <w:sectPr w:rsidR="008F6288" w:rsidRPr="008F6288" w:rsidSect="008F6288">
          <w:type w:val="continuous"/>
          <w:pgSz w:w="11906" w:h="16838"/>
          <w:pgMar w:top="1560" w:right="1440" w:bottom="993" w:left="1276" w:header="0" w:footer="0" w:gutter="0"/>
          <w:cols w:space="708"/>
          <w:docGrid w:linePitch="360"/>
        </w:sectPr>
      </w:pPr>
    </w:p>
    <w:p w14:paraId="0A8FADA2" w14:textId="6A06CC55" w:rsidR="00EC399C" w:rsidRPr="008F6288" w:rsidRDefault="00EC399C" w:rsidP="008F6288">
      <w:pPr>
        <w:rPr>
          <w:rFonts w:ascii="Georgia" w:hAnsi="Georgia"/>
        </w:rPr>
      </w:pPr>
      <w:bookmarkStart w:id="0" w:name="_GoBack"/>
      <w:bookmarkEnd w:id="0"/>
    </w:p>
    <w:sectPr w:rsidR="00EC399C" w:rsidRPr="008F6288" w:rsidSect="008F6288">
      <w:endnotePr>
        <w:numFmt w:val="decimal"/>
      </w:endnotePr>
      <w:type w:val="continuous"/>
      <w:pgSz w:w="11906" w:h="16838"/>
      <w:pgMar w:top="1560" w:right="1440" w:bottom="993" w:left="1276"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1D5B0" w14:textId="77777777" w:rsidR="002D3BE3" w:rsidRDefault="002D3BE3" w:rsidP="002577A8">
      <w:pPr>
        <w:spacing w:line="240" w:lineRule="auto"/>
      </w:pPr>
      <w:r>
        <w:separator/>
      </w:r>
    </w:p>
  </w:endnote>
  <w:endnote w:type="continuationSeparator" w:id="0">
    <w:p w14:paraId="52D656CC" w14:textId="77777777" w:rsidR="002D3BE3" w:rsidRDefault="002D3BE3" w:rsidP="002577A8">
      <w:pPr>
        <w:spacing w:line="240" w:lineRule="auto"/>
      </w:pPr>
      <w:r>
        <w:continuationSeparator/>
      </w:r>
    </w:p>
  </w:endnote>
  <w:endnote w:id="1">
    <w:p w14:paraId="5A2EDEE0" w14:textId="77777777" w:rsidR="008F6288" w:rsidRPr="00F54F58" w:rsidRDefault="008F6288" w:rsidP="008F6288">
      <w:pPr>
        <w:autoSpaceDE w:val="0"/>
        <w:autoSpaceDN w:val="0"/>
        <w:adjustRightInd w:val="0"/>
        <w:spacing w:line="240" w:lineRule="auto"/>
        <w:rPr>
          <w:rFonts w:ascii="Calibri" w:hAnsi="Calibri" w:cs="Arial"/>
          <w:sz w:val="16"/>
          <w:szCs w:val="16"/>
        </w:rPr>
      </w:pPr>
      <w:r w:rsidRPr="00F54F58">
        <w:rPr>
          <w:rStyle w:val="EndnoteReference"/>
          <w:rFonts w:ascii="Calibri" w:hAnsi="Calibri"/>
        </w:rPr>
        <w:endnoteRef/>
      </w:r>
      <w:r w:rsidRPr="00F54F58">
        <w:rPr>
          <w:rStyle w:val="EndnoteReference"/>
          <w:rFonts w:ascii="Calibri" w:hAnsi="Calibri"/>
        </w:rPr>
        <w:t xml:space="preserve"> </w:t>
      </w:r>
      <w:r w:rsidRPr="00F54F58">
        <w:rPr>
          <w:rFonts w:ascii="Calibri" w:hAnsi="Calibri" w:cs="Arial"/>
          <w:sz w:val="16"/>
          <w:szCs w:val="16"/>
        </w:rPr>
        <w:t>Lenger K: Homeopathic potencies identified by a new magnetic resonance method. Homeopathy – An Energetic Medicine</w:t>
      </w:r>
      <w:r>
        <w:rPr>
          <w:rFonts w:ascii="Calibri" w:hAnsi="Calibri" w:cs="Arial"/>
          <w:sz w:val="16"/>
          <w:szCs w:val="16"/>
        </w:rPr>
        <w:t>,</w:t>
      </w:r>
      <w:r w:rsidRPr="00F54F58">
        <w:rPr>
          <w:rFonts w:ascii="Calibri" w:hAnsi="Calibri" w:cs="Arial"/>
          <w:sz w:val="16"/>
          <w:szCs w:val="16"/>
        </w:rPr>
        <w:t xml:space="preserve"> Subtle Energies &amp; Energy Medicine 2006;15:225-44</w:t>
      </w:r>
    </w:p>
  </w:endnote>
  <w:endnote w:id="2">
    <w:p w14:paraId="53290C0B" w14:textId="77777777" w:rsidR="008F6288" w:rsidRPr="00F54F58" w:rsidRDefault="008F6288" w:rsidP="008F6288">
      <w:pPr>
        <w:autoSpaceDE w:val="0"/>
        <w:autoSpaceDN w:val="0"/>
        <w:adjustRightInd w:val="0"/>
        <w:spacing w:line="240" w:lineRule="auto"/>
        <w:rPr>
          <w:rFonts w:ascii="Calibri" w:hAnsi="Calibri" w:cs="Arial"/>
          <w:sz w:val="16"/>
          <w:szCs w:val="16"/>
        </w:rPr>
      </w:pPr>
      <w:r w:rsidRPr="00F54F58">
        <w:rPr>
          <w:rStyle w:val="EndnoteReference"/>
          <w:rFonts w:ascii="Calibri" w:hAnsi="Calibri"/>
        </w:rPr>
        <w:endnoteRef/>
      </w:r>
      <w:r w:rsidRPr="00F54F58">
        <w:rPr>
          <w:rFonts w:ascii="Calibri" w:hAnsi="Calibri" w:cs="Arial"/>
          <w:sz w:val="16"/>
          <w:szCs w:val="16"/>
        </w:rPr>
        <w:t xml:space="preserve"> Lenger K, Bajpai RP, Drexel M: Delayed luminescence of high homeopathic potencies on sugar globuli. Homeopathy 2008;97:134-40</w:t>
      </w:r>
    </w:p>
  </w:endnote>
  <w:endnote w:id="3">
    <w:p w14:paraId="68BFE593" w14:textId="77777777" w:rsidR="008F6288" w:rsidRPr="00F54F58" w:rsidRDefault="008F6288" w:rsidP="008F6288">
      <w:pPr>
        <w:autoSpaceDE w:val="0"/>
        <w:autoSpaceDN w:val="0"/>
        <w:adjustRightInd w:val="0"/>
        <w:spacing w:line="240" w:lineRule="auto"/>
        <w:rPr>
          <w:rFonts w:ascii="Calibri" w:hAnsi="Calibri"/>
          <w:sz w:val="16"/>
          <w:szCs w:val="16"/>
        </w:rPr>
      </w:pPr>
      <w:r w:rsidRPr="00F54F58">
        <w:rPr>
          <w:rStyle w:val="EndnoteReference"/>
          <w:rFonts w:ascii="Calibri" w:hAnsi="Calibri"/>
        </w:rPr>
        <w:endnoteRef/>
      </w:r>
      <w:r w:rsidRPr="00F54F58">
        <w:rPr>
          <w:rFonts w:ascii="Calibri" w:hAnsi="Calibri" w:cs="Arial"/>
          <w:sz w:val="16"/>
          <w:szCs w:val="16"/>
        </w:rPr>
        <w:t xml:space="preserve"> Lenger K: A new biochemical model of homeopathic efficacy in patients with different diseases. Subtle Energies &amp; Energy medicine 2010;19:1-34</w:t>
      </w:r>
    </w:p>
  </w:endnote>
  <w:endnote w:id="4">
    <w:p w14:paraId="24D7219B" w14:textId="77777777" w:rsidR="008F6288" w:rsidRPr="00F54F58" w:rsidRDefault="008F6288" w:rsidP="008F6288">
      <w:pPr>
        <w:autoSpaceDE w:val="0"/>
        <w:autoSpaceDN w:val="0"/>
        <w:adjustRightInd w:val="0"/>
        <w:spacing w:line="240" w:lineRule="auto"/>
        <w:rPr>
          <w:rFonts w:ascii="Calibri" w:hAnsi="Calibri" w:cs="Arial"/>
          <w:sz w:val="16"/>
          <w:szCs w:val="16"/>
        </w:rPr>
      </w:pPr>
      <w:r w:rsidRPr="00F54F58">
        <w:rPr>
          <w:rStyle w:val="EndnoteReference"/>
          <w:rFonts w:ascii="Calibri" w:hAnsi="Calibri"/>
        </w:rPr>
        <w:endnoteRef/>
      </w:r>
      <w:r w:rsidRPr="00F54F58">
        <w:rPr>
          <w:rFonts w:ascii="Calibri" w:hAnsi="Calibri"/>
          <w:sz w:val="16"/>
          <w:szCs w:val="16"/>
        </w:rPr>
        <w:t xml:space="preserve"> </w:t>
      </w:r>
      <w:r w:rsidRPr="00F54F58">
        <w:rPr>
          <w:rFonts w:ascii="Calibri" w:hAnsi="Calibri" w:cs="Arial"/>
          <w:sz w:val="16"/>
          <w:szCs w:val="16"/>
        </w:rPr>
        <w:t>Barnard GP, Stephenson JH: Microdose paradox: A new biophysical concept. Journal of the American Institute of Homeopathy 1967;60:277-86</w:t>
      </w:r>
    </w:p>
  </w:endnote>
  <w:endnote w:id="5">
    <w:p w14:paraId="6C30EBAE" w14:textId="77777777" w:rsidR="008F6288" w:rsidRPr="00F54F58" w:rsidRDefault="008F6288" w:rsidP="008F6288">
      <w:pPr>
        <w:autoSpaceDE w:val="0"/>
        <w:autoSpaceDN w:val="0"/>
        <w:adjustRightInd w:val="0"/>
        <w:spacing w:line="240" w:lineRule="auto"/>
        <w:rPr>
          <w:rFonts w:ascii="Calibri" w:hAnsi="Calibri" w:cs="Arial"/>
          <w:sz w:val="16"/>
          <w:szCs w:val="16"/>
        </w:rPr>
      </w:pPr>
      <w:r w:rsidRPr="00F54F58">
        <w:rPr>
          <w:rStyle w:val="EndnoteReference"/>
          <w:rFonts w:ascii="Calibri" w:hAnsi="Calibri"/>
        </w:rPr>
        <w:endnoteRef/>
      </w:r>
      <w:r w:rsidRPr="00F54F58">
        <w:rPr>
          <w:rFonts w:ascii="Calibri" w:hAnsi="Calibri"/>
          <w:sz w:val="16"/>
          <w:szCs w:val="16"/>
        </w:rPr>
        <w:t xml:space="preserve"> </w:t>
      </w:r>
      <w:r w:rsidRPr="00F54F58">
        <w:rPr>
          <w:rFonts w:ascii="Calibri" w:hAnsi="Calibri" w:cs="Arial"/>
          <w:sz w:val="16"/>
          <w:szCs w:val="16"/>
        </w:rPr>
        <w:t>Atmanspacher H, Römer H, Walach H: Weak Quantum Theory: Complementarity and Entanglement in Physics and Beyond. Foundations of Physics 2002;32:379-406</w:t>
      </w:r>
    </w:p>
  </w:endnote>
  <w:endnote w:id="6">
    <w:p w14:paraId="2BCE7124" w14:textId="77777777" w:rsidR="008F6288" w:rsidRPr="00F54F58" w:rsidRDefault="008F6288" w:rsidP="008F6288">
      <w:pPr>
        <w:autoSpaceDE w:val="0"/>
        <w:autoSpaceDN w:val="0"/>
        <w:adjustRightInd w:val="0"/>
        <w:spacing w:line="240" w:lineRule="auto"/>
        <w:rPr>
          <w:rFonts w:ascii="Calibri" w:hAnsi="Calibri"/>
          <w:sz w:val="16"/>
          <w:szCs w:val="16"/>
        </w:rPr>
      </w:pPr>
      <w:r w:rsidRPr="00F54F58">
        <w:rPr>
          <w:rStyle w:val="EndnoteReference"/>
          <w:rFonts w:ascii="Calibri" w:hAnsi="Calibri"/>
        </w:rPr>
        <w:endnoteRef/>
      </w:r>
      <w:r w:rsidRPr="00F54F58">
        <w:rPr>
          <w:rFonts w:ascii="Calibri" w:hAnsi="Calibri"/>
          <w:sz w:val="16"/>
          <w:szCs w:val="16"/>
        </w:rPr>
        <w:t xml:space="preserve"> </w:t>
      </w:r>
      <w:r w:rsidRPr="00F54F58">
        <w:rPr>
          <w:rFonts w:ascii="Calibri" w:hAnsi="Calibri" w:cs="Arial"/>
          <w:sz w:val="16"/>
          <w:szCs w:val="16"/>
        </w:rPr>
        <w:t>Chikramane PS, Suresh AK, Bellare JR and Kane SG: Extreme homeopathic dilutions retain starting materials: A nanoparticulate perspective. Homeopathy 2010;99:231-42</w:t>
      </w:r>
    </w:p>
  </w:endnote>
  <w:endnote w:id="7">
    <w:p w14:paraId="29D74088" w14:textId="77777777" w:rsidR="008F6288" w:rsidRPr="00F54F58" w:rsidRDefault="008F6288" w:rsidP="008F6288">
      <w:pPr>
        <w:autoSpaceDE w:val="0"/>
        <w:autoSpaceDN w:val="0"/>
        <w:adjustRightInd w:val="0"/>
        <w:spacing w:line="240" w:lineRule="auto"/>
        <w:rPr>
          <w:rFonts w:ascii="Calibri" w:hAnsi="Calibri"/>
          <w:sz w:val="16"/>
          <w:szCs w:val="16"/>
        </w:rPr>
      </w:pPr>
      <w:r w:rsidRPr="00F54F58">
        <w:rPr>
          <w:rStyle w:val="EndnoteReference"/>
          <w:rFonts w:ascii="Calibri" w:hAnsi="Calibri"/>
        </w:rPr>
        <w:endnoteRef/>
      </w:r>
      <w:r w:rsidRPr="00F54F58">
        <w:rPr>
          <w:rFonts w:ascii="Calibri" w:hAnsi="Calibri"/>
          <w:sz w:val="16"/>
          <w:szCs w:val="16"/>
        </w:rPr>
        <w:t xml:space="preserve"> </w:t>
      </w:r>
      <w:r w:rsidRPr="00F54F58">
        <w:rPr>
          <w:rFonts w:ascii="Calibri" w:hAnsi="Calibri" w:cs="Arial"/>
          <w:sz w:val="16"/>
          <w:szCs w:val="16"/>
        </w:rPr>
        <w:t>Upadhyay RP, Nayak C: Homeopathy emerging as nanomedicine. Int J High Dilution Res 2011;10:299-310</w:t>
      </w:r>
    </w:p>
  </w:endnote>
  <w:endnote w:id="8">
    <w:p w14:paraId="41D35BB3" w14:textId="77777777" w:rsidR="008F6288" w:rsidRPr="009C4514" w:rsidRDefault="008F6288" w:rsidP="008F6288">
      <w:pPr>
        <w:autoSpaceDE w:val="0"/>
        <w:autoSpaceDN w:val="0"/>
        <w:adjustRightInd w:val="0"/>
        <w:spacing w:line="240" w:lineRule="auto"/>
        <w:rPr>
          <w:rFonts w:ascii="Calibri" w:hAnsi="Calibri"/>
          <w:sz w:val="16"/>
          <w:szCs w:val="16"/>
        </w:rPr>
      </w:pPr>
      <w:r w:rsidRPr="009C4514">
        <w:rPr>
          <w:rStyle w:val="EndnoteReference"/>
          <w:rFonts w:ascii="Calibri" w:hAnsi="Calibri"/>
        </w:rPr>
        <w:endnoteRef/>
      </w:r>
      <w:r w:rsidRPr="009C4514">
        <w:rPr>
          <w:rFonts w:ascii="Calibri" w:hAnsi="Calibri"/>
          <w:sz w:val="16"/>
          <w:szCs w:val="16"/>
        </w:rPr>
        <w:t xml:space="preserve"> </w:t>
      </w:r>
      <w:r w:rsidRPr="009C4514">
        <w:rPr>
          <w:rFonts w:ascii="Calibri" w:hAnsi="Calibri" w:cs="Arial"/>
          <w:sz w:val="16"/>
          <w:szCs w:val="16"/>
        </w:rPr>
        <w:t>Wijk van R, Wiegand FAC: The Similia Principle. An Experimental Approach o</w:t>
      </w:r>
      <w:r>
        <w:rPr>
          <w:rFonts w:ascii="Calibri" w:hAnsi="Calibri" w:cs="Arial"/>
          <w:sz w:val="16"/>
          <w:szCs w:val="16"/>
        </w:rPr>
        <w:t>n the Cornerstone of Homeopathy,</w:t>
      </w:r>
      <w:r w:rsidRPr="009C4514">
        <w:rPr>
          <w:rFonts w:ascii="Calibri" w:hAnsi="Calibri" w:cs="Arial"/>
          <w:sz w:val="16"/>
          <w:szCs w:val="16"/>
        </w:rPr>
        <w:t xml:space="preserve"> Essen: KVC Verlag, 2006</w:t>
      </w:r>
    </w:p>
  </w:endnote>
  <w:endnote w:id="9">
    <w:p w14:paraId="6471C801" w14:textId="77777777" w:rsidR="008F6288" w:rsidRPr="008F6288" w:rsidRDefault="008F6288" w:rsidP="008F6288">
      <w:pPr>
        <w:autoSpaceDE w:val="0"/>
        <w:autoSpaceDN w:val="0"/>
        <w:adjustRightInd w:val="0"/>
        <w:spacing w:line="240" w:lineRule="auto"/>
        <w:rPr>
          <w:rFonts w:ascii="Calibri" w:hAnsi="Calibri"/>
          <w:sz w:val="16"/>
          <w:szCs w:val="16"/>
          <w:lang w:val="de-DE"/>
        </w:rPr>
      </w:pPr>
      <w:r w:rsidRPr="00F54F58">
        <w:rPr>
          <w:rStyle w:val="EndnoteReference"/>
          <w:rFonts w:ascii="Calibri" w:hAnsi="Calibri"/>
        </w:rPr>
        <w:endnoteRef/>
      </w:r>
      <w:r w:rsidRPr="008F6288">
        <w:rPr>
          <w:rFonts w:ascii="Calibri" w:hAnsi="Calibri"/>
          <w:sz w:val="16"/>
          <w:szCs w:val="16"/>
          <w:lang w:val="de-DE"/>
        </w:rPr>
        <w:t xml:space="preserve"> </w:t>
      </w:r>
      <w:r w:rsidRPr="008F6288">
        <w:rPr>
          <w:rFonts w:ascii="Calibri" w:hAnsi="Calibri" w:cs="Arial"/>
          <w:sz w:val="16"/>
          <w:szCs w:val="16"/>
          <w:lang w:val="de-DE"/>
        </w:rPr>
        <w:t>Witt C. Physikalische Untersuchung homöopathischer Hochpotenzen. 1. Nachdruck. Essen: KVC Verlag, 2006</w:t>
      </w:r>
    </w:p>
  </w:endnote>
  <w:endnote w:id="10">
    <w:p w14:paraId="7C12B05E" w14:textId="77777777" w:rsidR="008F6288" w:rsidRPr="00F54F58" w:rsidRDefault="008F6288" w:rsidP="008F6288">
      <w:pPr>
        <w:autoSpaceDE w:val="0"/>
        <w:autoSpaceDN w:val="0"/>
        <w:adjustRightInd w:val="0"/>
        <w:spacing w:line="240" w:lineRule="auto"/>
        <w:rPr>
          <w:rFonts w:ascii="Calibri" w:hAnsi="Calibri"/>
          <w:sz w:val="16"/>
          <w:szCs w:val="16"/>
        </w:rPr>
      </w:pPr>
      <w:r w:rsidRPr="00F54F58">
        <w:rPr>
          <w:rStyle w:val="EndnoteReference"/>
          <w:rFonts w:ascii="Calibri" w:hAnsi="Calibri"/>
        </w:rPr>
        <w:endnoteRef/>
      </w:r>
      <w:r w:rsidRPr="008F6288">
        <w:rPr>
          <w:rFonts w:ascii="Calibri" w:hAnsi="Calibri"/>
          <w:sz w:val="16"/>
          <w:szCs w:val="16"/>
          <w:lang w:val="de-DE"/>
        </w:rPr>
        <w:t xml:space="preserve"> </w:t>
      </w:r>
      <w:r w:rsidRPr="008F6288">
        <w:rPr>
          <w:rFonts w:ascii="Calibri" w:hAnsi="Calibri" w:cs="Arial"/>
          <w:sz w:val="16"/>
          <w:szCs w:val="16"/>
          <w:lang w:val="de-DE"/>
        </w:rPr>
        <w:t xml:space="preserve">Endler PC, Lüdtke R, Heckmann C, Zausner C, Lassnig H, Scherer-Pongratz W, Haidvogl M, Frass M: Pretreatment with thyroxin (10-8 parts by weight) enhances a "curative" effect of homeopathically prepared thyroxin (10-13) on lowland frogs. </w:t>
      </w:r>
      <w:r w:rsidRPr="00F54F58">
        <w:rPr>
          <w:rFonts w:ascii="Calibri" w:hAnsi="Calibri" w:cs="Arial"/>
          <w:sz w:val="16"/>
          <w:szCs w:val="16"/>
        </w:rPr>
        <w:t>Research on Complementary Medicine / Forschende Komplementärmedizin 2003;10:137-42</w:t>
      </w:r>
    </w:p>
  </w:endnote>
  <w:endnote w:id="11">
    <w:p w14:paraId="7404F677" w14:textId="77777777" w:rsidR="008F6288" w:rsidRPr="00F54F58" w:rsidRDefault="008F6288" w:rsidP="008F6288">
      <w:pPr>
        <w:autoSpaceDE w:val="0"/>
        <w:autoSpaceDN w:val="0"/>
        <w:adjustRightInd w:val="0"/>
        <w:spacing w:line="240" w:lineRule="auto"/>
        <w:rPr>
          <w:rFonts w:ascii="Calibri" w:hAnsi="Calibri"/>
          <w:sz w:val="16"/>
          <w:szCs w:val="16"/>
        </w:rPr>
      </w:pPr>
      <w:r w:rsidRPr="00F54F58">
        <w:rPr>
          <w:rStyle w:val="EndnoteReference"/>
          <w:rFonts w:ascii="Calibri" w:hAnsi="Calibri"/>
        </w:rPr>
        <w:endnoteRef/>
      </w:r>
      <w:r w:rsidRPr="00F54F58">
        <w:rPr>
          <w:rFonts w:ascii="Calibri" w:hAnsi="Calibri"/>
          <w:sz w:val="16"/>
          <w:szCs w:val="16"/>
        </w:rPr>
        <w:t xml:space="preserve"> </w:t>
      </w:r>
      <w:r w:rsidRPr="00F54F58">
        <w:rPr>
          <w:rFonts w:ascii="Calibri" w:hAnsi="Calibri" w:cs="Arial"/>
          <w:sz w:val="16"/>
          <w:szCs w:val="16"/>
        </w:rPr>
        <w:t>Treatment of Lowland Frogs from the Spawn Stage on with Homeopathically Prepared Thyroxin (10-30). The Scientific World Journal 2007;7:1697-702</w:t>
      </w:r>
    </w:p>
  </w:endnote>
  <w:endnote w:id="12">
    <w:p w14:paraId="7D7017DB" w14:textId="77777777" w:rsidR="008F6288" w:rsidRPr="00F54F58" w:rsidRDefault="008F6288" w:rsidP="008F6288">
      <w:pPr>
        <w:autoSpaceDE w:val="0"/>
        <w:autoSpaceDN w:val="0"/>
        <w:adjustRightInd w:val="0"/>
        <w:spacing w:line="240" w:lineRule="auto"/>
        <w:rPr>
          <w:rFonts w:ascii="Calibri" w:hAnsi="Calibri"/>
          <w:sz w:val="16"/>
          <w:szCs w:val="16"/>
        </w:rPr>
      </w:pPr>
      <w:r w:rsidRPr="00F54F58">
        <w:rPr>
          <w:rStyle w:val="EndnoteReference"/>
          <w:rFonts w:ascii="Calibri" w:hAnsi="Calibri"/>
        </w:rPr>
        <w:endnoteRef/>
      </w:r>
      <w:r w:rsidRPr="00F54F58">
        <w:rPr>
          <w:rFonts w:ascii="Calibri" w:hAnsi="Calibri"/>
          <w:sz w:val="16"/>
          <w:szCs w:val="16"/>
        </w:rPr>
        <w:t xml:space="preserve"> </w:t>
      </w:r>
      <w:r w:rsidRPr="00F54F58">
        <w:rPr>
          <w:rFonts w:ascii="Calibri" w:hAnsi="Calibri" w:cs="Arial"/>
          <w:sz w:val="16"/>
          <w:szCs w:val="16"/>
        </w:rPr>
        <w:t>Lingg G, Endler PC, Frass M, Loth</w:t>
      </w:r>
      <w:r>
        <w:rPr>
          <w:rFonts w:ascii="Calibri" w:hAnsi="Calibri" w:cs="Arial"/>
          <w:sz w:val="16"/>
          <w:szCs w:val="16"/>
        </w:rPr>
        <w:t xml:space="preserve">aller H: Treatment of Highland </w:t>
      </w:r>
      <w:r w:rsidRPr="00F54F58">
        <w:rPr>
          <w:rFonts w:ascii="Calibri" w:hAnsi="Calibri" w:cs="Arial"/>
          <w:sz w:val="16"/>
          <w:szCs w:val="16"/>
        </w:rPr>
        <w:t>Frogs from the Two Legged Stage with Homeopathically Prepared Thyroxin (10-11 – 10-21). The Scientific World Journal 2008;446-50</w:t>
      </w:r>
    </w:p>
  </w:endnote>
  <w:endnote w:id="13">
    <w:p w14:paraId="50502AAA" w14:textId="77777777" w:rsidR="008F6288" w:rsidRPr="00F54F58" w:rsidRDefault="008F6288" w:rsidP="008F6288">
      <w:pPr>
        <w:autoSpaceDE w:val="0"/>
        <w:autoSpaceDN w:val="0"/>
        <w:adjustRightInd w:val="0"/>
        <w:spacing w:line="240" w:lineRule="auto"/>
        <w:rPr>
          <w:rFonts w:ascii="Calibri" w:hAnsi="Calibri"/>
          <w:sz w:val="16"/>
          <w:szCs w:val="16"/>
        </w:rPr>
      </w:pPr>
      <w:r w:rsidRPr="00F54F58">
        <w:rPr>
          <w:rStyle w:val="EndnoteReference"/>
          <w:rFonts w:ascii="Calibri" w:hAnsi="Calibri"/>
        </w:rPr>
        <w:endnoteRef/>
      </w:r>
      <w:r w:rsidRPr="00F54F58">
        <w:rPr>
          <w:rFonts w:ascii="Calibri" w:hAnsi="Calibri"/>
          <w:sz w:val="16"/>
          <w:szCs w:val="16"/>
        </w:rPr>
        <w:t xml:space="preserve"> </w:t>
      </w:r>
      <w:r w:rsidRPr="00F54F58">
        <w:rPr>
          <w:rFonts w:ascii="Calibri" w:hAnsi="Calibri" w:cs="Arial"/>
          <w:sz w:val="16"/>
          <w:szCs w:val="16"/>
        </w:rPr>
        <w:t>Welles SU, Endler PC, Scherer-Pongratz W, Suanjak-Traidl E, Weber S, Spranger H, Frass M, Lothaller H: Pretreatment with Thyroxin (10-8 M) and the Effect of Homeopathically Prepared Thyroxin 10e-30 on Highland Frogs - Results of a Multi-Researcher Study. Research on Complementary Medicine / Forschende Komplementärmedizin 2007;14:353-7</w:t>
      </w:r>
    </w:p>
  </w:endnote>
  <w:endnote w:id="14">
    <w:p w14:paraId="2E818A36" w14:textId="77777777" w:rsidR="008F6288" w:rsidRPr="00F54F58" w:rsidRDefault="008F6288" w:rsidP="008F6288">
      <w:pPr>
        <w:autoSpaceDE w:val="0"/>
        <w:autoSpaceDN w:val="0"/>
        <w:adjustRightInd w:val="0"/>
        <w:spacing w:line="240" w:lineRule="auto"/>
        <w:rPr>
          <w:rFonts w:ascii="Calibri" w:hAnsi="Calibri"/>
          <w:sz w:val="16"/>
          <w:szCs w:val="16"/>
        </w:rPr>
      </w:pPr>
      <w:r w:rsidRPr="00F54F58">
        <w:rPr>
          <w:rStyle w:val="EndnoteReference"/>
          <w:rFonts w:ascii="Calibri" w:hAnsi="Calibri"/>
        </w:rPr>
        <w:endnoteRef/>
      </w:r>
      <w:r w:rsidRPr="00F54F58">
        <w:rPr>
          <w:rFonts w:ascii="Calibri" w:hAnsi="Calibri"/>
          <w:sz w:val="16"/>
          <w:szCs w:val="16"/>
        </w:rPr>
        <w:t xml:space="preserve"> </w:t>
      </w:r>
      <w:r w:rsidRPr="00F54F58">
        <w:rPr>
          <w:rFonts w:ascii="Calibri" w:hAnsi="Calibri" w:cs="Arial"/>
          <w:sz w:val="16"/>
          <w:szCs w:val="16"/>
        </w:rPr>
        <w:t>Zausner C, Lassnig H, Endler PC, Scherer W, Haidvogl M, Frass M, Kastberger G, Lüdtke R: Die Wirkung von "homöopathisch" zubereitetem Thyroxin auf die Metamorphose von Hochlandamphibien. Ergebnisse einer multizentrischen Kontrollstudie. Perfusion 2002;17:268-7</w:t>
      </w:r>
    </w:p>
  </w:endnote>
  <w:endnote w:id="15">
    <w:p w14:paraId="3A9FF3E9" w14:textId="77777777" w:rsidR="008F6288" w:rsidRPr="00F54F58" w:rsidRDefault="008F6288" w:rsidP="008F6288">
      <w:pPr>
        <w:autoSpaceDE w:val="0"/>
        <w:autoSpaceDN w:val="0"/>
        <w:adjustRightInd w:val="0"/>
        <w:spacing w:line="240" w:lineRule="auto"/>
        <w:rPr>
          <w:rFonts w:ascii="Calibri" w:hAnsi="Calibri"/>
          <w:sz w:val="16"/>
          <w:szCs w:val="16"/>
        </w:rPr>
      </w:pPr>
      <w:r w:rsidRPr="00F54F58">
        <w:rPr>
          <w:rStyle w:val="EndnoteReference"/>
          <w:rFonts w:ascii="Calibri" w:hAnsi="Calibri"/>
        </w:rPr>
        <w:endnoteRef/>
      </w:r>
      <w:r w:rsidRPr="00F54F58">
        <w:rPr>
          <w:rFonts w:ascii="Calibri" w:hAnsi="Calibri" w:cs="Arial"/>
          <w:sz w:val="16"/>
          <w:szCs w:val="16"/>
        </w:rPr>
        <w:t>Jäger T, Scherr C, Simon M, Heusser P, and Baumgartner S: Effects of homeopathic arsenicum album, nosode, and gibberellic acid preparations on the growth rate of arsenic-impaired duckweed (Lemna gibba L.). ScientificWorldJournal 2010;10:2112-29</w:t>
      </w:r>
    </w:p>
  </w:endnote>
  <w:endnote w:id="16">
    <w:p w14:paraId="255D17A0" w14:textId="77777777" w:rsidR="008F6288" w:rsidRPr="00F54F58" w:rsidRDefault="008F6288" w:rsidP="008F6288">
      <w:pPr>
        <w:autoSpaceDE w:val="0"/>
        <w:autoSpaceDN w:val="0"/>
        <w:adjustRightInd w:val="0"/>
        <w:spacing w:line="240" w:lineRule="auto"/>
        <w:rPr>
          <w:rFonts w:ascii="Calibri" w:hAnsi="Calibri"/>
          <w:sz w:val="16"/>
          <w:szCs w:val="16"/>
        </w:rPr>
      </w:pPr>
      <w:r w:rsidRPr="00F54F58">
        <w:rPr>
          <w:rStyle w:val="EndnoteReference"/>
          <w:rFonts w:ascii="Calibri" w:hAnsi="Calibri"/>
        </w:rPr>
        <w:endnoteRef/>
      </w:r>
      <w:r w:rsidRPr="00F54F58">
        <w:rPr>
          <w:rFonts w:ascii="Calibri" w:hAnsi="Calibri"/>
          <w:sz w:val="16"/>
          <w:szCs w:val="16"/>
        </w:rPr>
        <w:t xml:space="preserve"> </w:t>
      </w:r>
      <w:r w:rsidRPr="00F54F58">
        <w:rPr>
          <w:rFonts w:ascii="Calibri" w:hAnsi="Calibri" w:cs="Arial"/>
          <w:sz w:val="16"/>
          <w:szCs w:val="16"/>
        </w:rPr>
        <w:t>Jäger T, Scherr C, Simon M, Heusser P, and Baumgartner S: Development of a Test System for Homeopathic Preparations Using Impaired Duckweed (Lemna gibba L.). J Altern Complement Med 2011;17:315-23</w:t>
      </w:r>
    </w:p>
  </w:endnote>
  <w:endnote w:id="17">
    <w:p w14:paraId="7F6010C4" w14:textId="77777777" w:rsidR="008F6288" w:rsidRPr="00F54F58" w:rsidRDefault="008F6288" w:rsidP="008F6288">
      <w:pPr>
        <w:autoSpaceDE w:val="0"/>
        <w:autoSpaceDN w:val="0"/>
        <w:adjustRightInd w:val="0"/>
        <w:spacing w:line="240" w:lineRule="auto"/>
        <w:rPr>
          <w:rFonts w:ascii="Calibri" w:hAnsi="Calibri"/>
          <w:sz w:val="16"/>
          <w:szCs w:val="16"/>
        </w:rPr>
      </w:pPr>
      <w:r w:rsidRPr="00F54F58">
        <w:rPr>
          <w:rStyle w:val="EndnoteReference"/>
          <w:rFonts w:ascii="Calibri" w:hAnsi="Calibri"/>
        </w:rPr>
        <w:endnoteRef/>
      </w:r>
      <w:r w:rsidRPr="00F54F58">
        <w:rPr>
          <w:rFonts w:ascii="Calibri" w:hAnsi="Calibri"/>
          <w:sz w:val="16"/>
          <w:szCs w:val="16"/>
        </w:rPr>
        <w:t xml:space="preserve"> </w:t>
      </w:r>
      <w:r w:rsidRPr="00F54F58">
        <w:rPr>
          <w:rFonts w:ascii="Calibri" w:hAnsi="Calibri" w:cs="Arial"/>
          <w:sz w:val="16"/>
          <w:szCs w:val="16"/>
        </w:rPr>
        <w:t>Scherr C, Simon M, Spranger J, and Baumgartner S: Effects of potentised substances on growth rate of the water plant Lemna gibba L. Complementary Therapies in Medicine 2009;17:63–70</w:t>
      </w:r>
    </w:p>
  </w:endnote>
  <w:endnote w:id="18">
    <w:p w14:paraId="23701F86" w14:textId="77777777" w:rsidR="008F6288" w:rsidRPr="00F54F58" w:rsidRDefault="008F6288" w:rsidP="008F6288">
      <w:pPr>
        <w:autoSpaceDE w:val="0"/>
        <w:autoSpaceDN w:val="0"/>
        <w:adjustRightInd w:val="0"/>
        <w:spacing w:line="240" w:lineRule="auto"/>
        <w:rPr>
          <w:rFonts w:ascii="Calibri" w:hAnsi="Calibri"/>
          <w:sz w:val="16"/>
          <w:szCs w:val="16"/>
        </w:rPr>
      </w:pPr>
      <w:r w:rsidRPr="00F54F58">
        <w:rPr>
          <w:rStyle w:val="EndnoteReference"/>
          <w:rFonts w:ascii="Calibri" w:hAnsi="Calibri"/>
        </w:rPr>
        <w:endnoteRef/>
      </w:r>
      <w:r w:rsidRPr="00F54F58">
        <w:rPr>
          <w:rFonts w:ascii="Calibri" w:hAnsi="Calibri"/>
          <w:sz w:val="16"/>
          <w:szCs w:val="16"/>
        </w:rPr>
        <w:t xml:space="preserve"> </w:t>
      </w:r>
      <w:r w:rsidRPr="00F54F58">
        <w:rPr>
          <w:rFonts w:ascii="Calibri" w:hAnsi="Calibri" w:cs="Arial"/>
          <w:sz w:val="16"/>
          <w:szCs w:val="16"/>
        </w:rPr>
        <w:t>Wolf U, Wolf M, Heusser P, Thurneysen A, and Baumgartner S: Homeopathic Preparations of Quartz, Sulfur and Copper Sulfate Assessed by UV-Spectroscopy. Evid Based Complement Alternat Med 2011, Article ID 692798, doi:10.1093/ecam/nep036, 2011</w:t>
      </w:r>
    </w:p>
  </w:endnote>
  <w:endnote w:id="19">
    <w:p w14:paraId="1F7615F3" w14:textId="77777777" w:rsidR="008F6288" w:rsidRPr="004C39FF" w:rsidRDefault="008F6288" w:rsidP="008F6288">
      <w:pPr>
        <w:spacing w:after="200" w:line="240" w:lineRule="auto"/>
      </w:pPr>
      <w:r w:rsidRPr="00F54F58">
        <w:rPr>
          <w:rStyle w:val="EndnoteReference"/>
          <w:rFonts w:ascii="Calibri" w:hAnsi="Calibri"/>
        </w:rPr>
        <w:endnoteRef/>
      </w:r>
      <w:r w:rsidRPr="00F54F58">
        <w:rPr>
          <w:rFonts w:ascii="Calibri" w:hAnsi="Calibri"/>
          <w:sz w:val="16"/>
          <w:szCs w:val="16"/>
        </w:rPr>
        <w:t xml:space="preserve"> </w:t>
      </w:r>
      <w:r w:rsidRPr="00F54F58">
        <w:rPr>
          <w:rFonts w:ascii="Calibri" w:hAnsi="Calibri" w:cs="Arial"/>
          <w:sz w:val="16"/>
          <w:szCs w:val="16"/>
        </w:rPr>
        <w:t>Bellavite P, Magnani P, Marzotto M, Conforti A: Assays of homeopathic remedies in rodent behavioural and psychopathological models. Homeopathy 2009;98:208-27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0144878"/>
      <w:docPartObj>
        <w:docPartGallery w:val="Page Numbers (Bottom of Page)"/>
        <w:docPartUnique/>
      </w:docPartObj>
    </w:sdtPr>
    <w:sdtEndPr>
      <w:rPr>
        <w:noProof/>
      </w:rPr>
    </w:sdtEndPr>
    <w:sdtContent>
      <w:p w14:paraId="4C1992C9" w14:textId="77777777" w:rsidR="002619D8" w:rsidRPr="002619D8" w:rsidRDefault="002619D8" w:rsidP="002619D8">
        <w:pPr>
          <w:jc w:val="center"/>
          <w:rPr>
            <w:rFonts w:ascii="Georgia" w:hAnsi="Georgia" w:cs="Arial"/>
            <w:color w:val="002B45"/>
            <w:sz w:val="20"/>
            <w:szCs w:val="20"/>
          </w:rPr>
        </w:pPr>
        <w:r w:rsidRPr="002619D8">
          <w:rPr>
            <w:rFonts w:ascii="Georgia" w:hAnsi="Georgia" w:cs="Arial"/>
            <w:color w:val="002B45"/>
            <w:sz w:val="20"/>
            <w:szCs w:val="20"/>
          </w:rPr>
          <w:t>For further information please contact Amandine Oset at ECHAMP on</w:t>
        </w:r>
      </w:p>
      <w:p w14:paraId="0C20F407" w14:textId="77777777" w:rsidR="002619D8" w:rsidRPr="002619D8" w:rsidRDefault="002619D8" w:rsidP="002619D8">
        <w:pPr>
          <w:jc w:val="center"/>
          <w:rPr>
            <w:rFonts w:ascii="Georgia" w:hAnsi="Georgia" w:cs="Arial"/>
            <w:color w:val="002B45"/>
            <w:sz w:val="20"/>
            <w:szCs w:val="20"/>
          </w:rPr>
        </w:pPr>
        <w:r w:rsidRPr="002619D8">
          <w:rPr>
            <w:rFonts w:ascii="Georgia" w:hAnsi="Georgia" w:cs="Arial"/>
            <w:color w:val="002B45"/>
            <w:sz w:val="20"/>
            <w:szCs w:val="20"/>
          </w:rPr>
          <w:t xml:space="preserve">(32) 2 649 94 40 or e-mail media@echamp.eu – www.echamp.eu </w:t>
        </w:r>
      </w:p>
      <w:p w14:paraId="673E5D33" w14:textId="77777777" w:rsidR="002619D8" w:rsidRPr="002619D8" w:rsidRDefault="002619D8" w:rsidP="002619D8">
        <w:pPr>
          <w:jc w:val="right"/>
          <w:rPr>
            <w:rFonts w:ascii="Georgia" w:hAnsi="Georgia" w:cs="Arial"/>
            <w:color w:val="002B45"/>
            <w:sz w:val="20"/>
            <w:szCs w:val="20"/>
          </w:rPr>
        </w:pPr>
        <w:r w:rsidRPr="002619D8">
          <w:rPr>
            <w:rFonts w:ascii="Georgia" w:hAnsi="Georgia" w:cs="Arial"/>
            <w:color w:val="002B45"/>
            <w:sz w:val="20"/>
            <w:szCs w:val="20"/>
          </w:rPr>
          <w:t>ECHAMP Press Pack</w:t>
        </w:r>
      </w:p>
      <w:p w14:paraId="0AF01781" w14:textId="1933B6C4" w:rsidR="00A40D8F" w:rsidRPr="002619D8" w:rsidRDefault="002619D8" w:rsidP="002619D8">
        <w:pPr>
          <w:pStyle w:val="Footer"/>
          <w:jc w:val="right"/>
          <w:rPr>
            <w:rFonts w:ascii="Georgia" w:hAnsi="Georgia"/>
            <w:noProof/>
            <w:color w:val="002B45"/>
            <w:sz w:val="20"/>
            <w:szCs w:val="20"/>
            <w:lang w:eastAsia="en-GB"/>
          </w:rPr>
        </w:pPr>
        <w:r w:rsidRPr="002619D8">
          <w:rPr>
            <w:rFonts w:ascii="Georgia" w:hAnsi="Georgia"/>
            <w:noProof/>
            <w:color w:val="002B45"/>
            <w:sz w:val="20"/>
            <w:szCs w:val="20"/>
            <w:lang w:eastAsia="en-GB"/>
          </w:rPr>
          <w:t>May 2016</w:t>
        </w:r>
      </w:p>
    </w:sdtContent>
  </w:sdt>
  <w:p w14:paraId="2369A06D" w14:textId="04D56E2B" w:rsidR="002D3BE3" w:rsidRPr="00416E28" w:rsidRDefault="002D3BE3" w:rsidP="00416E28">
    <w:pPr>
      <w:pStyle w:val="Footer"/>
      <w:ind w:left="-127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2B997" w14:textId="77777777" w:rsidR="002619D8" w:rsidRPr="002619D8" w:rsidRDefault="002619D8" w:rsidP="002619D8">
    <w:pPr>
      <w:jc w:val="center"/>
      <w:rPr>
        <w:rFonts w:ascii="Georgia" w:hAnsi="Georgia" w:cs="Arial"/>
        <w:color w:val="002B45"/>
        <w:sz w:val="20"/>
        <w:szCs w:val="20"/>
      </w:rPr>
    </w:pPr>
    <w:r w:rsidRPr="002619D8">
      <w:rPr>
        <w:rFonts w:ascii="Georgia" w:hAnsi="Georgia" w:cs="Arial"/>
        <w:color w:val="002B45"/>
        <w:sz w:val="20"/>
        <w:szCs w:val="20"/>
      </w:rPr>
      <w:t>For further information please contact Amandine Oset at ECHAMP on</w:t>
    </w:r>
  </w:p>
  <w:p w14:paraId="2676A2CF" w14:textId="77777777" w:rsidR="002619D8" w:rsidRPr="002619D8" w:rsidRDefault="002619D8" w:rsidP="002619D8">
    <w:pPr>
      <w:jc w:val="center"/>
      <w:rPr>
        <w:rFonts w:ascii="Georgia" w:hAnsi="Georgia" w:cs="Arial"/>
        <w:color w:val="002B45"/>
        <w:sz w:val="20"/>
        <w:szCs w:val="20"/>
      </w:rPr>
    </w:pPr>
    <w:r w:rsidRPr="002619D8">
      <w:rPr>
        <w:rFonts w:ascii="Georgia" w:hAnsi="Georgia" w:cs="Arial"/>
        <w:color w:val="002B45"/>
        <w:sz w:val="20"/>
        <w:szCs w:val="20"/>
      </w:rPr>
      <w:t xml:space="preserve">(32) 2 649 94 40 or e-mail media@echamp.eu – www.echamp.eu </w:t>
    </w:r>
  </w:p>
  <w:p w14:paraId="2CBFC8AB" w14:textId="77777777" w:rsidR="002619D8" w:rsidRPr="002619D8" w:rsidRDefault="002619D8" w:rsidP="002619D8">
    <w:pPr>
      <w:jc w:val="right"/>
      <w:rPr>
        <w:rFonts w:ascii="Georgia" w:hAnsi="Georgia" w:cs="Arial"/>
        <w:color w:val="002B45"/>
        <w:sz w:val="20"/>
        <w:szCs w:val="20"/>
      </w:rPr>
    </w:pPr>
    <w:r w:rsidRPr="002619D8">
      <w:rPr>
        <w:rFonts w:ascii="Georgia" w:hAnsi="Georgia" w:cs="Arial"/>
        <w:color w:val="002B45"/>
        <w:sz w:val="20"/>
        <w:szCs w:val="20"/>
      </w:rPr>
      <w:t>ECHAMP Press Pack</w:t>
    </w:r>
  </w:p>
  <w:p w14:paraId="34E751B7" w14:textId="6FC0B638" w:rsidR="00EC399C" w:rsidRPr="002619D8" w:rsidRDefault="002619D8" w:rsidP="00EC399C">
    <w:pPr>
      <w:pStyle w:val="Footer"/>
      <w:jc w:val="right"/>
      <w:rPr>
        <w:rFonts w:ascii="Georgia" w:hAnsi="Georgia"/>
        <w:noProof/>
        <w:color w:val="002B45"/>
        <w:sz w:val="20"/>
        <w:szCs w:val="20"/>
        <w:lang w:eastAsia="en-GB"/>
      </w:rPr>
    </w:pPr>
    <w:r w:rsidRPr="002619D8">
      <w:rPr>
        <w:rFonts w:ascii="Georgia" w:hAnsi="Georgia"/>
        <w:noProof/>
        <w:color w:val="002B45"/>
        <w:sz w:val="20"/>
        <w:szCs w:val="20"/>
        <w:lang w:eastAsia="en-GB"/>
      </w:rPr>
      <w:t>May</w:t>
    </w:r>
    <w:r w:rsidR="00EC399C" w:rsidRPr="002619D8">
      <w:rPr>
        <w:rFonts w:ascii="Georgia" w:hAnsi="Georgia"/>
        <w:noProof/>
        <w:color w:val="002B45"/>
        <w:sz w:val="20"/>
        <w:szCs w:val="20"/>
        <w:lang w:eastAsia="en-GB"/>
      </w:rPr>
      <w:t xml:space="preserve"> 2016</w:t>
    </w:r>
  </w:p>
  <w:p w14:paraId="77C5195D" w14:textId="77777777" w:rsidR="00EC399C" w:rsidRPr="002619D8" w:rsidRDefault="00EC399C" w:rsidP="00EC399C">
    <w:pPr>
      <w:pStyle w:val="Footer"/>
      <w:rPr>
        <w:rFonts w:ascii="Georgia" w:hAnsi="Georgia"/>
        <w:color w:val="002B45"/>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1B50B" w14:textId="77777777" w:rsidR="002D3BE3" w:rsidRDefault="002D3BE3" w:rsidP="002577A8">
      <w:pPr>
        <w:spacing w:line="240" w:lineRule="auto"/>
      </w:pPr>
      <w:r>
        <w:separator/>
      </w:r>
    </w:p>
  </w:footnote>
  <w:footnote w:type="continuationSeparator" w:id="0">
    <w:p w14:paraId="0735FD36" w14:textId="77777777" w:rsidR="002D3BE3" w:rsidRDefault="002D3BE3" w:rsidP="002577A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30A3A" w14:textId="2E271BA9" w:rsidR="002D3BE3" w:rsidRDefault="00497509" w:rsidP="00D150E0">
    <w:pPr>
      <w:pStyle w:val="Header"/>
      <w:ind w:left="-1276"/>
    </w:pPr>
    <w:r>
      <w:rPr>
        <w:noProof/>
        <w:lang w:eastAsia="en-GB"/>
      </w:rPr>
      <w:drawing>
        <wp:inline distT="0" distB="0" distL="0" distR="0" wp14:anchorId="1AE8B06C" wp14:editId="1C865753">
          <wp:extent cx="7515860" cy="1391826"/>
          <wp:effectExtent l="0" t="0" r="2540" b="5715"/>
          <wp:docPr id="15" name="Picture 15" descr="Macintosh HD:Users:sara:Dropbox:Echamp:Brand:E_stationery-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sara:Dropbox:Echamp:Brand:E_stationery-0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5860" cy="1391826"/>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D952A" w14:textId="39D72DF1" w:rsidR="002D3BE3" w:rsidRDefault="00497509" w:rsidP="005C1302">
    <w:pPr>
      <w:pStyle w:val="Header"/>
      <w:ind w:left="284" w:hanging="1560"/>
    </w:pPr>
    <w:r>
      <w:rPr>
        <w:noProof/>
        <w:lang w:eastAsia="en-GB"/>
      </w:rPr>
      <w:drawing>
        <wp:inline distT="0" distB="0" distL="0" distR="0" wp14:anchorId="24B3D2D4" wp14:editId="6576A531">
          <wp:extent cx="7488936" cy="1386840"/>
          <wp:effectExtent l="0" t="0" r="4445" b="10160"/>
          <wp:docPr id="16" name="Picture 16" descr="Macintosh HD:Users:sara:Dropbox:Echamp:Brand:E_stationery-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ara:Dropbox:Echamp:Brand:E_stationery-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8936" cy="13868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B21D7"/>
    <w:multiLevelType w:val="hybridMultilevel"/>
    <w:tmpl w:val="BFF22B2E"/>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4BE2C50"/>
    <w:multiLevelType w:val="hybridMultilevel"/>
    <w:tmpl w:val="56128352"/>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0CC8769E"/>
    <w:multiLevelType w:val="hybridMultilevel"/>
    <w:tmpl w:val="D8409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1455F"/>
    <w:multiLevelType w:val="hybridMultilevel"/>
    <w:tmpl w:val="1E9C9F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4A53278"/>
    <w:multiLevelType w:val="hybridMultilevel"/>
    <w:tmpl w:val="CC009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AE7F95"/>
    <w:multiLevelType w:val="hybridMultilevel"/>
    <w:tmpl w:val="8AA8B8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F64076"/>
    <w:multiLevelType w:val="hybridMultilevel"/>
    <w:tmpl w:val="81A055B6"/>
    <w:lvl w:ilvl="0" w:tplc="94F4F2EE">
      <w:start w:val="1"/>
      <w:numFmt w:val="bullet"/>
      <w:lvlText w:val="-"/>
      <w:lvlJc w:val="left"/>
      <w:pPr>
        <w:ind w:left="720" w:hanging="360"/>
      </w:pPr>
      <w:rPr>
        <w:rFonts w:ascii="Courier New" w:hAnsi="Courier New" w:cs="Times New Roman" w:hint="default"/>
      </w:rPr>
    </w:lvl>
    <w:lvl w:ilvl="1" w:tplc="94F4F2EE">
      <w:start w:val="1"/>
      <w:numFmt w:val="bullet"/>
      <w:lvlText w:val="-"/>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AE613D9"/>
    <w:multiLevelType w:val="hybridMultilevel"/>
    <w:tmpl w:val="26667B2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1DCC63FD"/>
    <w:multiLevelType w:val="multilevel"/>
    <w:tmpl w:val="52FC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F82EA1"/>
    <w:multiLevelType w:val="hybridMultilevel"/>
    <w:tmpl w:val="B9604CD6"/>
    <w:lvl w:ilvl="0" w:tplc="8E40B7DA">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222B0FEF"/>
    <w:multiLevelType w:val="hybridMultilevel"/>
    <w:tmpl w:val="7D1E5B8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23D96F81"/>
    <w:multiLevelType w:val="hybridMultilevel"/>
    <w:tmpl w:val="16FAB45A"/>
    <w:lvl w:ilvl="0" w:tplc="5C9AEC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E4647C"/>
    <w:multiLevelType w:val="hybridMultilevel"/>
    <w:tmpl w:val="5DA61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2757508"/>
    <w:multiLevelType w:val="hybridMultilevel"/>
    <w:tmpl w:val="1AF0E3B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35FA0336"/>
    <w:multiLevelType w:val="hybridMultilevel"/>
    <w:tmpl w:val="AF3AD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7DE727E"/>
    <w:multiLevelType w:val="hybridMultilevel"/>
    <w:tmpl w:val="5A668A1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3A8C4597"/>
    <w:multiLevelType w:val="hybridMultilevel"/>
    <w:tmpl w:val="5F5493D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B79515B"/>
    <w:multiLevelType w:val="hybridMultilevel"/>
    <w:tmpl w:val="BEDA52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464B676F"/>
    <w:multiLevelType w:val="hybridMultilevel"/>
    <w:tmpl w:val="DAEAED0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15:restartNumberingAfterBreak="0">
    <w:nsid w:val="467A7BC6"/>
    <w:multiLevelType w:val="multilevel"/>
    <w:tmpl w:val="6560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690739"/>
    <w:multiLevelType w:val="hybridMultilevel"/>
    <w:tmpl w:val="A462B4C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4BBE0DD0"/>
    <w:multiLevelType w:val="hybridMultilevel"/>
    <w:tmpl w:val="0B78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D27210"/>
    <w:multiLevelType w:val="hybridMultilevel"/>
    <w:tmpl w:val="503A47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4BF41E55"/>
    <w:multiLevelType w:val="hybridMultilevel"/>
    <w:tmpl w:val="D272F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DC9518F"/>
    <w:multiLevelType w:val="multilevel"/>
    <w:tmpl w:val="41C2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940FF6"/>
    <w:multiLevelType w:val="hybridMultilevel"/>
    <w:tmpl w:val="028C0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563F6E"/>
    <w:multiLevelType w:val="multilevel"/>
    <w:tmpl w:val="61DE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1146EE"/>
    <w:multiLevelType w:val="hybridMultilevel"/>
    <w:tmpl w:val="B94648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563A439E"/>
    <w:multiLevelType w:val="hybridMultilevel"/>
    <w:tmpl w:val="6EB484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9" w15:restartNumberingAfterBreak="0">
    <w:nsid w:val="59926C68"/>
    <w:multiLevelType w:val="hybridMultilevel"/>
    <w:tmpl w:val="52EA4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B20351"/>
    <w:multiLevelType w:val="hybridMultilevel"/>
    <w:tmpl w:val="E70EB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CA059D"/>
    <w:multiLevelType w:val="hybridMultilevel"/>
    <w:tmpl w:val="EABCE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25B071E"/>
    <w:multiLevelType w:val="multilevel"/>
    <w:tmpl w:val="85AC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E65A73"/>
    <w:multiLevelType w:val="hybridMultilevel"/>
    <w:tmpl w:val="77AC73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6B487A35"/>
    <w:multiLevelType w:val="multilevel"/>
    <w:tmpl w:val="37F8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5109D9"/>
    <w:multiLevelType w:val="hybridMultilevel"/>
    <w:tmpl w:val="B3F2DEE6"/>
    <w:lvl w:ilvl="0" w:tplc="6066B224">
      <w:numFmt w:val="bullet"/>
      <w:lvlText w:val="-"/>
      <w:lvlJc w:val="left"/>
      <w:pPr>
        <w:ind w:left="360" w:hanging="360"/>
      </w:pPr>
      <w:rPr>
        <w:rFonts w:ascii="Georgia" w:eastAsia="Times New Roman" w:hAnsi="Georgi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7C0988"/>
    <w:multiLevelType w:val="multilevel"/>
    <w:tmpl w:val="9DFC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AD2067"/>
    <w:multiLevelType w:val="hybridMultilevel"/>
    <w:tmpl w:val="B414E1C8"/>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2"/>
  </w:num>
  <w:num w:numId="2">
    <w:abstractNumId w:val="9"/>
  </w:num>
  <w:num w:numId="3">
    <w:abstractNumId w:val="30"/>
  </w:num>
  <w:num w:numId="4">
    <w:abstractNumId w:val="4"/>
  </w:num>
  <w:num w:numId="5">
    <w:abstractNumId w:val="25"/>
  </w:num>
  <w:num w:numId="6">
    <w:abstractNumId w:val="3"/>
  </w:num>
  <w:num w:numId="7">
    <w:abstractNumId w:val="27"/>
  </w:num>
  <w:num w:numId="8">
    <w:abstractNumId w:val="33"/>
  </w:num>
  <w:num w:numId="9">
    <w:abstractNumId w:val="31"/>
  </w:num>
  <w:num w:numId="10">
    <w:abstractNumId w:val="6"/>
  </w:num>
  <w:num w:numId="11">
    <w:abstractNumId w:val="0"/>
  </w:num>
  <w:num w:numId="12">
    <w:abstractNumId w:val="37"/>
  </w:num>
  <w:num w:numId="13">
    <w:abstractNumId w:val="1"/>
  </w:num>
  <w:num w:numId="14">
    <w:abstractNumId w:val="14"/>
  </w:num>
  <w:num w:numId="15">
    <w:abstractNumId w:val="12"/>
  </w:num>
  <w:num w:numId="16">
    <w:abstractNumId w:val="23"/>
  </w:num>
  <w:num w:numId="17">
    <w:abstractNumId w:val="21"/>
  </w:num>
  <w:num w:numId="18">
    <w:abstractNumId w:val="29"/>
  </w:num>
  <w:num w:numId="19">
    <w:abstractNumId w:val="7"/>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5"/>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7"/>
  </w:num>
  <w:num w:numId="29">
    <w:abstractNumId w:val="32"/>
  </w:num>
  <w:num w:numId="30">
    <w:abstractNumId w:val="34"/>
  </w:num>
  <w:num w:numId="31">
    <w:abstractNumId w:val="36"/>
  </w:num>
  <w:num w:numId="32">
    <w:abstractNumId w:val="19"/>
  </w:num>
  <w:num w:numId="33">
    <w:abstractNumId w:val="24"/>
  </w:num>
  <w:num w:numId="34">
    <w:abstractNumId w:val="26"/>
  </w:num>
  <w:num w:numId="35">
    <w:abstractNumId w:val="8"/>
  </w:num>
  <w:num w:numId="36">
    <w:abstractNumId w:val="35"/>
  </w:num>
  <w:num w:numId="37">
    <w:abstractNumId w:val="11"/>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characterSpacingControl w:val="doNotCompress"/>
  <w:hdrShapeDefaults>
    <o:shapedefaults v:ext="edit" spidmax="327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7A8"/>
    <w:rsid w:val="000006B9"/>
    <w:rsid w:val="00044122"/>
    <w:rsid w:val="00123AEE"/>
    <w:rsid w:val="00124D8D"/>
    <w:rsid w:val="0013440B"/>
    <w:rsid w:val="001637F8"/>
    <w:rsid w:val="001B6CD9"/>
    <w:rsid w:val="001E2F56"/>
    <w:rsid w:val="00232822"/>
    <w:rsid w:val="002463D0"/>
    <w:rsid w:val="002577A8"/>
    <w:rsid w:val="002619D8"/>
    <w:rsid w:val="002629AB"/>
    <w:rsid w:val="00275C47"/>
    <w:rsid w:val="002A7D97"/>
    <w:rsid w:val="002D3BE3"/>
    <w:rsid w:val="002D5BC6"/>
    <w:rsid w:val="002D7A11"/>
    <w:rsid w:val="002E17C2"/>
    <w:rsid w:val="002E32DC"/>
    <w:rsid w:val="003008FF"/>
    <w:rsid w:val="0031037B"/>
    <w:rsid w:val="003565CF"/>
    <w:rsid w:val="00362292"/>
    <w:rsid w:val="00374AEC"/>
    <w:rsid w:val="003A784B"/>
    <w:rsid w:val="003B499B"/>
    <w:rsid w:val="003B76AA"/>
    <w:rsid w:val="00416E28"/>
    <w:rsid w:val="00417B23"/>
    <w:rsid w:val="004465CF"/>
    <w:rsid w:val="00466C33"/>
    <w:rsid w:val="004821F6"/>
    <w:rsid w:val="00497509"/>
    <w:rsid w:val="004A1E6D"/>
    <w:rsid w:val="004B5DCD"/>
    <w:rsid w:val="004D2CD3"/>
    <w:rsid w:val="00502AE9"/>
    <w:rsid w:val="00516A49"/>
    <w:rsid w:val="005265AF"/>
    <w:rsid w:val="00527600"/>
    <w:rsid w:val="005350EF"/>
    <w:rsid w:val="005539BB"/>
    <w:rsid w:val="0056306D"/>
    <w:rsid w:val="00567DCC"/>
    <w:rsid w:val="005B70ED"/>
    <w:rsid w:val="005C1302"/>
    <w:rsid w:val="00612986"/>
    <w:rsid w:val="00616829"/>
    <w:rsid w:val="006179A0"/>
    <w:rsid w:val="00646804"/>
    <w:rsid w:val="00661647"/>
    <w:rsid w:val="00671A7F"/>
    <w:rsid w:val="006925AB"/>
    <w:rsid w:val="006B40BB"/>
    <w:rsid w:val="006B6E08"/>
    <w:rsid w:val="006B7811"/>
    <w:rsid w:val="006C20F9"/>
    <w:rsid w:val="00707434"/>
    <w:rsid w:val="00720B77"/>
    <w:rsid w:val="007631F2"/>
    <w:rsid w:val="00773CDF"/>
    <w:rsid w:val="007A19AD"/>
    <w:rsid w:val="007A1BBA"/>
    <w:rsid w:val="007A3380"/>
    <w:rsid w:val="007C2E16"/>
    <w:rsid w:val="007E2536"/>
    <w:rsid w:val="00814DA0"/>
    <w:rsid w:val="00845747"/>
    <w:rsid w:val="008519EB"/>
    <w:rsid w:val="00887E57"/>
    <w:rsid w:val="00893686"/>
    <w:rsid w:val="008C59F5"/>
    <w:rsid w:val="008F6288"/>
    <w:rsid w:val="009033D0"/>
    <w:rsid w:val="00910C27"/>
    <w:rsid w:val="009167E1"/>
    <w:rsid w:val="00921DEE"/>
    <w:rsid w:val="00955880"/>
    <w:rsid w:val="009A5FCD"/>
    <w:rsid w:val="009D125B"/>
    <w:rsid w:val="009F3725"/>
    <w:rsid w:val="00A01E3A"/>
    <w:rsid w:val="00A152C6"/>
    <w:rsid w:val="00A2433E"/>
    <w:rsid w:val="00A40D8F"/>
    <w:rsid w:val="00A43B7B"/>
    <w:rsid w:val="00A65A6B"/>
    <w:rsid w:val="00A705BC"/>
    <w:rsid w:val="00A930F8"/>
    <w:rsid w:val="00AA59DB"/>
    <w:rsid w:val="00AD7FC9"/>
    <w:rsid w:val="00AE613E"/>
    <w:rsid w:val="00AF266D"/>
    <w:rsid w:val="00B00B5E"/>
    <w:rsid w:val="00B57BF4"/>
    <w:rsid w:val="00B63781"/>
    <w:rsid w:val="00BA0656"/>
    <w:rsid w:val="00BB6A1B"/>
    <w:rsid w:val="00BC5BBC"/>
    <w:rsid w:val="00BD1A51"/>
    <w:rsid w:val="00BF2BBF"/>
    <w:rsid w:val="00C026B9"/>
    <w:rsid w:val="00C13C4A"/>
    <w:rsid w:val="00C643E3"/>
    <w:rsid w:val="00CC3341"/>
    <w:rsid w:val="00D150E0"/>
    <w:rsid w:val="00D44FED"/>
    <w:rsid w:val="00D57F5B"/>
    <w:rsid w:val="00D61DF4"/>
    <w:rsid w:val="00D83207"/>
    <w:rsid w:val="00DA37B3"/>
    <w:rsid w:val="00DC58DE"/>
    <w:rsid w:val="00DC7180"/>
    <w:rsid w:val="00DF58F4"/>
    <w:rsid w:val="00E026D9"/>
    <w:rsid w:val="00E11A00"/>
    <w:rsid w:val="00E343B0"/>
    <w:rsid w:val="00E35B18"/>
    <w:rsid w:val="00E64745"/>
    <w:rsid w:val="00E71744"/>
    <w:rsid w:val="00EB2E8E"/>
    <w:rsid w:val="00EC399C"/>
    <w:rsid w:val="00F10302"/>
    <w:rsid w:val="00F20949"/>
    <w:rsid w:val="00F42BD4"/>
    <w:rsid w:val="00F62AB6"/>
    <w:rsid w:val="00F715BE"/>
    <w:rsid w:val="00FA136D"/>
    <w:rsid w:val="00FE07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71AED6EF"/>
  <w15:docId w15:val="{54ED2A70-1B56-42BA-9394-9A37C3C70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2DC"/>
  </w:style>
  <w:style w:type="paragraph" w:styleId="Heading1">
    <w:name w:val="heading 1"/>
    <w:basedOn w:val="Normal"/>
    <w:next w:val="Normal"/>
    <w:link w:val="Heading1Char"/>
    <w:uiPriority w:val="9"/>
    <w:qFormat/>
    <w:rsid w:val="00516A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7A8"/>
    <w:pPr>
      <w:tabs>
        <w:tab w:val="center" w:pos="4513"/>
        <w:tab w:val="right" w:pos="9026"/>
      </w:tabs>
      <w:spacing w:line="240" w:lineRule="auto"/>
    </w:pPr>
  </w:style>
  <w:style w:type="character" w:customStyle="1" w:styleId="HeaderChar">
    <w:name w:val="Header Char"/>
    <w:basedOn w:val="DefaultParagraphFont"/>
    <w:link w:val="Header"/>
    <w:uiPriority w:val="99"/>
    <w:rsid w:val="002577A8"/>
  </w:style>
  <w:style w:type="paragraph" w:styleId="Footer">
    <w:name w:val="footer"/>
    <w:basedOn w:val="Normal"/>
    <w:link w:val="FooterChar"/>
    <w:uiPriority w:val="99"/>
    <w:unhideWhenUsed/>
    <w:rsid w:val="002577A8"/>
    <w:pPr>
      <w:tabs>
        <w:tab w:val="center" w:pos="4513"/>
        <w:tab w:val="right" w:pos="9026"/>
      </w:tabs>
      <w:spacing w:line="240" w:lineRule="auto"/>
    </w:pPr>
  </w:style>
  <w:style w:type="character" w:customStyle="1" w:styleId="FooterChar">
    <w:name w:val="Footer Char"/>
    <w:basedOn w:val="DefaultParagraphFont"/>
    <w:link w:val="Footer"/>
    <w:uiPriority w:val="99"/>
    <w:rsid w:val="002577A8"/>
  </w:style>
  <w:style w:type="paragraph" w:styleId="BalloonText">
    <w:name w:val="Balloon Text"/>
    <w:basedOn w:val="Normal"/>
    <w:link w:val="BalloonTextChar"/>
    <w:uiPriority w:val="99"/>
    <w:semiHidden/>
    <w:unhideWhenUsed/>
    <w:rsid w:val="00BC5B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BBC"/>
    <w:rPr>
      <w:rFonts w:ascii="Tahoma" w:hAnsi="Tahoma" w:cs="Tahoma"/>
      <w:sz w:val="16"/>
      <w:szCs w:val="16"/>
    </w:rPr>
  </w:style>
  <w:style w:type="character" w:customStyle="1" w:styleId="Heading1Char">
    <w:name w:val="Heading 1 Char"/>
    <w:basedOn w:val="DefaultParagraphFont"/>
    <w:link w:val="Heading1"/>
    <w:uiPriority w:val="9"/>
    <w:rsid w:val="00516A49"/>
    <w:rPr>
      <w:rFonts w:asciiTheme="majorHAnsi" w:eastAsiaTheme="majorEastAsia" w:hAnsiTheme="majorHAnsi" w:cstheme="majorBidi"/>
      <w:b/>
      <w:bCs/>
      <w:color w:val="365F91" w:themeColor="accent1" w:themeShade="BF"/>
      <w:sz w:val="28"/>
      <w:szCs w:val="28"/>
    </w:rPr>
  </w:style>
  <w:style w:type="character" w:styleId="PageNumber">
    <w:name w:val="page number"/>
    <w:basedOn w:val="DefaultParagraphFont"/>
    <w:uiPriority w:val="99"/>
    <w:semiHidden/>
    <w:unhideWhenUsed/>
    <w:rsid w:val="00B63781"/>
  </w:style>
  <w:style w:type="paragraph" w:customStyle="1" w:styleId="Default">
    <w:name w:val="Default"/>
    <w:rsid w:val="005350EF"/>
    <w:pPr>
      <w:autoSpaceDE w:val="0"/>
      <w:autoSpaceDN w:val="0"/>
      <w:adjustRightInd w:val="0"/>
      <w:spacing w:line="240" w:lineRule="auto"/>
    </w:pPr>
    <w:rPr>
      <w:rFonts w:ascii="Constantia" w:eastAsiaTheme="minorEastAsia" w:hAnsi="Constantia" w:cs="Constantia"/>
      <w:color w:val="000000"/>
      <w:sz w:val="24"/>
      <w:szCs w:val="24"/>
      <w:lang w:eastAsia="en-GB"/>
    </w:rPr>
  </w:style>
  <w:style w:type="paragraph" w:customStyle="1" w:styleId="Style">
    <w:name w:val="Style"/>
    <w:uiPriority w:val="99"/>
    <w:rsid w:val="00527600"/>
    <w:pPr>
      <w:widowControl w:val="0"/>
      <w:autoSpaceDE w:val="0"/>
      <w:autoSpaceDN w:val="0"/>
      <w:adjustRightInd w:val="0"/>
      <w:spacing w:line="240" w:lineRule="auto"/>
    </w:pPr>
    <w:rPr>
      <w:rFonts w:ascii="Times New Roman" w:eastAsia="Times New Roman" w:hAnsi="Times New Roman" w:cs="Times New Roman"/>
      <w:sz w:val="24"/>
      <w:szCs w:val="24"/>
      <w:lang w:val="fr-FR" w:eastAsia="fr-FR"/>
    </w:rPr>
  </w:style>
  <w:style w:type="paragraph" w:styleId="ListParagraph">
    <w:name w:val="List Paragraph"/>
    <w:basedOn w:val="Normal"/>
    <w:uiPriority w:val="34"/>
    <w:qFormat/>
    <w:rsid w:val="00D44FED"/>
    <w:pPr>
      <w:ind w:left="720"/>
      <w:contextualSpacing/>
    </w:pPr>
  </w:style>
  <w:style w:type="character" w:styleId="Hyperlink">
    <w:name w:val="Hyperlink"/>
    <w:basedOn w:val="DefaultParagraphFont"/>
    <w:uiPriority w:val="99"/>
    <w:unhideWhenUsed/>
    <w:rsid w:val="007A19AD"/>
    <w:rPr>
      <w:color w:val="0000FF"/>
      <w:u w:val="single"/>
    </w:rPr>
  </w:style>
  <w:style w:type="paragraph" w:styleId="PlainText">
    <w:name w:val="Plain Text"/>
    <w:basedOn w:val="Normal"/>
    <w:link w:val="PlainTextChar"/>
    <w:rsid w:val="00910C27"/>
    <w:pPr>
      <w:spacing w:line="240" w:lineRule="auto"/>
    </w:pPr>
    <w:rPr>
      <w:rFonts w:ascii="Courier New" w:eastAsia="Times New Roman" w:hAnsi="Courier New" w:cs="Times New Roman"/>
      <w:sz w:val="20"/>
      <w:szCs w:val="20"/>
      <w:lang w:val="nl-BE" w:eastAsia="nl-NL"/>
    </w:rPr>
  </w:style>
  <w:style w:type="character" w:customStyle="1" w:styleId="PlainTextChar">
    <w:name w:val="Plain Text Char"/>
    <w:basedOn w:val="DefaultParagraphFont"/>
    <w:link w:val="PlainText"/>
    <w:rsid w:val="00910C27"/>
    <w:rPr>
      <w:rFonts w:ascii="Courier New" w:eastAsia="Times New Roman" w:hAnsi="Courier New" w:cs="Times New Roman"/>
      <w:sz w:val="20"/>
      <w:szCs w:val="20"/>
      <w:lang w:val="nl-BE" w:eastAsia="nl-NL"/>
    </w:rPr>
  </w:style>
  <w:style w:type="character" w:styleId="Emphasis">
    <w:name w:val="Emphasis"/>
    <w:basedOn w:val="DefaultParagraphFont"/>
    <w:uiPriority w:val="20"/>
    <w:qFormat/>
    <w:rsid w:val="00845747"/>
    <w:rPr>
      <w:i/>
      <w:iCs/>
    </w:rPr>
  </w:style>
  <w:style w:type="character" w:styleId="FollowedHyperlink">
    <w:name w:val="FollowedHyperlink"/>
    <w:basedOn w:val="DefaultParagraphFont"/>
    <w:uiPriority w:val="99"/>
    <w:semiHidden/>
    <w:unhideWhenUsed/>
    <w:rsid w:val="009167E1"/>
    <w:rPr>
      <w:color w:val="800080" w:themeColor="followedHyperlink"/>
      <w:u w:val="single"/>
    </w:rPr>
  </w:style>
  <w:style w:type="character" w:customStyle="1" w:styleId="xbe">
    <w:name w:val="_xbe"/>
    <w:basedOn w:val="DefaultParagraphFont"/>
    <w:rsid w:val="00A40D8F"/>
  </w:style>
  <w:style w:type="table" w:styleId="TableGrid">
    <w:name w:val="Table Grid"/>
    <w:basedOn w:val="TableNormal"/>
    <w:uiPriority w:val="59"/>
    <w:rsid w:val="00A930F8"/>
    <w:pPr>
      <w:spacing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B40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2619D8"/>
    <w:rPr>
      <w:b/>
      <w:bCs/>
    </w:rPr>
  </w:style>
  <w:style w:type="paragraph" w:customStyle="1" w:styleId="text">
    <w:name w:val="text"/>
    <w:basedOn w:val="Normal"/>
    <w:rsid w:val="002619D8"/>
    <w:pPr>
      <w:spacing w:before="100" w:beforeAutospacing="1" w:after="100" w:afterAutospacing="1" w:line="240" w:lineRule="atLeast"/>
    </w:pPr>
    <w:rPr>
      <w:rFonts w:ascii="Verdana" w:eastAsia="Times New Roman" w:hAnsi="Verdana" w:cs="Times New Roman"/>
      <w:color w:val="000000"/>
      <w:sz w:val="20"/>
      <w:szCs w:val="20"/>
    </w:rPr>
  </w:style>
  <w:style w:type="paragraph" w:customStyle="1" w:styleId="bodytext">
    <w:name w:val="bodytext"/>
    <w:basedOn w:val="Normal"/>
    <w:rsid w:val="002619D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A705BC"/>
    <w:pPr>
      <w:spacing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A705BC"/>
    <w:rPr>
      <w:rFonts w:ascii="Arial" w:eastAsia="Times New Roman" w:hAnsi="Arial" w:cs="Times New Roman"/>
      <w:sz w:val="20"/>
      <w:szCs w:val="20"/>
    </w:rPr>
  </w:style>
  <w:style w:type="character" w:styleId="FootnoteReference">
    <w:name w:val="footnote reference"/>
    <w:semiHidden/>
    <w:rsid w:val="00A705BC"/>
    <w:rPr>
      <w:vertAlign w:val="superscript"/>
    </w:rPr>
  </w:style>
  <w:style w:type="character" w:styleId="CommentReference">
    <w:name w:val="annotation reference"/>
    <w:semiHidden/>
    <w:rsid w:val="00A705BC"/>
    <w:rPr>
      <w:sz w:val="16"/>
      <w:szCs w:val="16"/>
    </w:rPr>
  </w:style>
  <w:style w:type="paragraph" w:styleId="BodyText0">
    <w:name w:val="Body Text"/>
    <w:basedOn w:val="Normal"/>
    <w:link w:val="BodyTextChar"/>
    <w:rsid w:val="00A705BC"/>
    <w:pPr>
      <w:spacing w:line="240" w:lineRule="auto"/>
    </w:pPr>
    <w:rPr>
      <w:rFonts w:ascii="Gill Sans MT" w:eastAsia="Times New Roman" w:hAnsi="Gill Sans MT" w:cs="Times New Roman"/>
      <w:sz w:val="20"/>
      <w:szCs w:val="20"/>
    </w:rPr>
  </w:style>
  <w:style w:type="character" w:customStyle="1" w:styleId="BodyTextChar">
    <w:name w:val="Body Text Char"/>
    <w:basedOn w:val="DefaultParagraphFont"/>
    <w:link w:val="BodyText0"/>
    <w:rsid w:val="00A705BC"/>
    <w:rPr>
      <w:rFonts w:ascii="Gill Sans MT" w:eastAsia="Times New Roman" w:hAnsi="Gill Sans MT" w:cs="Times New Roman"/>
      <w:sz w:val="20"/>
      <w:szCs w:val="20"/>
    </w:rPr>
  </w:style>
  <w:style w:type="character" w:styleId="EndnoteReference">
    <w:name w:val="endnote reference"/>
    <w:rsid w:val="008F62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89467">
      <w:bodyDiv w:val="1"/>
      <w:marLeft w:val="0"/>
      <w:marRight w:val="0"/>
      <w:marTop w:val="0"/>
      <w:marBottom w:val="0"/>
      <w:divBdr>
        <w:top w:val="none" w:sz="0" w:space="0" w:color="auto"/>
        <w:left w:val="none" w:sz="0" w:space="0" w:color="auto"/>
        <w:bottom w:val="none" w:sz="0" w:space="0" w:color="auto"/>
        <w:right w:val="none" w:sz="0" w:space="0" w:color="auto"/>
      </w:divBdr>
    </w:div>
    <w:div w:id="382488749">
      <w:bodyDiv w:val="1"/>
      <w:marLeft w:val="0"/>
      <w:marRight w:val="0"/>
      <w:marTop w:val="0"/>
      <w:marBottom w:val="0"/>
      <w:divBdr>
        <w:top w:val="none" w:sz="0" w:space="0" w:color="auto"/>
        <w:left w:val="none" w:sz="0" w:space="0" w:color="auto"/>
        <w:bottom w:val="none" w:sz="0" w:space="0" w:color="auto"/>
        <w:right w:val="none" w:sz="0" w:space="0" w:color="auto"/>
      </w:divBdr>
    </w:div>
    <w:div w:id="599221527">
      <w:bodyDiv w:val="1"/>
      <w:marLeft w:val="0"/>
      <w:marRight w:val="0"/>
      <w:marTop w:val="0"/>
      <w:marBottom w:val="0"/>
      <w:divBdr>
        <w:top w:val="none" w:sz="0" w:space="0" w:color="auto"/>
        <w:left w:val="none" w:sz="0" w:space="0" w:color="auto"/>
        <w:bottom w:val="none" w:sz="0" w:space="0" w:color="auto"/>
        <w:right w:val="none" w:sz="0" w:space="0" w:color="auto"/>
      </w:divBdr>
    </w:div>
    <w:div w:id="611321303">
      <w:bodyDiv w:val="1"/>
      <w:marLeft w:val="0"/>
      <w:marRight w:val="0"/>
      <w:marTop w:val="0"/>
      <w:marBottom w:val="0"/>
      <w:divBdr>
        <w:top w:val="none" w:sz="0" w:space="0" w:color="auto"/>
        <w:left w:val="none" w:sz="0" w:space="0" w:color="auto"/>
        <w:bottom w:val="none" w:sz="0" w:space="0" w:color="auto"/>
        <w:right w:val="none" w:sz="0" w:space="0" w:color="auto"/>
      </w:divBdr>
    </w:div>
    <w:div w:id="669407134">
      <w:bodyDiv w:val="1"/>
      <w:marLeft w:val="0"/>
      <w:marRight w:val="0"/>
      <w:marTop w:val="0"/>
      <w:marBottom w:val="0"/>
      <w:divBdr>
        <w:top w:val="none" w:sz="0" w:space="0" w:color="auto"/>
        <w:left w:val="none" w:sz="0" w:space="0" w:color="auto"/>
        <w:bottom w:val="none" w:sz="0" w:space="0" w:color="auto"/>
        <w:right w:val="none" w:sz="0" w:space="0" w:color="auto"/>
      </w:divBdr>
    </w:div>
    <w:div w:id="1059789443">
      <w:bodyDiv w:val="1"/>
      <w:marLeft w:val="0"/>
      <w:marRight w:val="0"/>
      <w:marTop w:val="0"/>
      <w:marBottom w:val="0"/>
      <w:divBdr>
        <w:top w:val="none" w:sz="0" w:space="0" w:color="auto"/>
        <w:left w:val="none" w:sz="0" w:space="0" w:color="auto"/>
        <w:bottom w:val="none" w:sz="0" w:space="0" w:color="auto"/>
        <w:right w:val="none" w:sz="0" w:space="0" w:color="auto"/>
      </w:divBdr>
    </w:div>
    <w:div w:id="1080836151">
      <w:bodyDiv w:val="1"/>
      <w:marLeft w:val="0"/>
      <w:marRight w:val="0"/>
      <w:marTop w:val="0"/>
      <w:marBottom w:val="0"/>
      <w:divBdr>
        <w:top w:val="none" w:sz="0" w:space="0" w:color="auto"/>
        <w:left w:val="none" w:sz="0" w:space="0" w:color="auto"/>
        <w:bottom w:val="none" w:sz="0" w:space="0" w:color="auto"/>
        <w:right w:val="none" w:sz="0" w:space="0" w:color="auto"/>
      </w:divBdr>
    </w:div>
    <w:div w:id="1116755237">
      <w:bodyDiv w:val="1"/>
      <w:marLeft w:val="0"/>
      <w:marRight w:val="0"/>
      <w:marTop w:val="0"/>
      <w:marBottom w:val="0"/>
      <w:divBdr>
        <w:top w:val="none" w:sz="0" w:space="0" w:color="auto"/>
        <w:left w:val="none" w:sz="0" w:space="0" w:color="auto"/>
        <w:bottom w:val="none" w:sz="0" w:space="0" w:color="auto"/>
        <w:right w:val="none" w:sz="0" w:space="0" w:color="auto"/>
      </w:divBdr>
    </w:div>
    <w:div w:id="1147622309">
      <w:bodyDiv w:val="1"/>
      <w:marLeft w:val="0"/>
      <w:marRight w:val="0"/>
      <w:marTop w:val="0"/>
      <w:marBottom w:val="0"/>
      <w:divBdr>
        <w:top w:val="none" w:sz="0" w:space="0" w:color="auto"/>
        <w:left w:val="none" w:sz="0" w:space="0" w:color="auto"/>
        <w:bottom w:val="none" w:sz="0" w:space="0" w:color="auto"/>
        <w:right w:val="none" w:sz="0" w:space="0" w:color="auto"/>
      </w:divBdr>
    </w:div>
    <w:div w:id="1229850987">
      <w:bodyDiv w:val="1"/>
      <w:marLeft w:val="0"/>
      <w:marRight w:val="0"/>
      <w:marTop w:val="0"/>
      <w:marBottom w:val="0"/>
      <w:divBdr>
        <w:top w:val="none" w:sz="0" w:space="0" w:color="auto"/>
        <w:left w:val="none" w:sz="0" w:space="0" w:color="auto"/>
        <w:bottom w:val="none" w:sz="0" w:space="0" w:color="auto"/>
        <w:right w:val="none" w:sz="0" w:space="0" w:color="auto"/>
      </w:divBdr>
    </w:div>
    <w:div w:id="1287616566">
      <w:bodyDiv w:val="1"/>
      <w:marLeft w:val="0"/>
      <w:marRight w:val="0"/>
      <w:marTop w:val="0"/>
      <w:marBottom w:val="0"/>
      <w:divBdr>
        <w:top w:val="none" w:sz="0" w:space="0" w:color="auto"/>
        <w:left w:val="none" w:sz="0" w:space="0" w:color="auto"/>
        <w:bottom w:val="none" w:sz="0" w:space="0" w:color="auto"/>
        <w:right w:val="none" w:sz="0" w:space="0" w:color="auto"/>
      </w:divBdr>
    </w:div>
    <w:div w:id="1369263266">
      <w:bodyDiv w:val="1"/>
      <w:marLeft w:val="0"/>
      <w:marRight w:val="0"/>
      <w:marTop w:val="0"/>
      <w:marBottom w:val="0"/>
      <w:divBdr>
        <w:top w:val="none" w:sz="0" w:space="0" w:color="auto"/>
        <w:left w:val="none" w:sz="0" w:space="0" w:color="auto"/>
        <w:bottom w:val="none" w:sz="0" w:space="0" w:color="auto"/>
        <w:right w:val="none" w:sz="0" w:space="0" w:color="auto"/>
      </w:divBdr>
    </w:div>
    <w:div w:id="1931310584">
      <w:bodyDiv w:val="1"/>
      <w:marLeft w:val="0"/>
      <w:marRight w:val="0"/>
      <w:marTop w:val="0"/>
      <w:marBottom w:val="0"/>
      <w:divBdr>
        <w:top w:val="none" w:sz="0" w:space="0" w:color="auto"/>
        <w:left w:val="none" w:sz="0" w:space="0" w:color="auto"/>
        <w:bottom w:val="none" w:sz="0" w:space="0" w:color="auto"/>
        <w:right w:val="none" w:sz="0" w:space="0" w:color="auto"/>
      </w:divBdr>
    </w:div>
    <w:div w:id="1994597735">
      <w:bodyDiv w:val="1"/>
      <w:marLeft w:val="0"/>
      <w:marRight w:val="0"/>
      <w:marTop w:val="0"/>
      <w:marBottom w:val="0"/>
      <w:divBdr>
        <w:top w:val="none" w:sz="0" w:space="0" w:color="auto"/>
        <w:left w:val="none" w:sz="0" w:space="0" w:color="auto"/>
        <w:bottom w:val="none" w:sz="0" w:space="0" w:color="auto"/>
        <w:right w:val="none" w:sz="0" w:space="0" w:color="auto"/>
      </w:divBdr>
    </w:div>
    <w:div w:id="210935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C5B39E25CB6848AA1B182F129A7767" ma:contentTypeVersion="0" ma:contentTypeDescription="Create a new document." ma:contentTypeScope="" ma:versionID="4081c76a27f762e22e476d31cb282688">
  <xsd:schema xmlns:xsd="http://www.w3.org/2001/XMLSchema" xmlns:xs="http://www.w3.org/2001/XMLSchema" xmlns:p="http://schemas.microsoft.com/office/2006/metadata/properties" targetNamespace="http://schemas.microsoft.com/office/2006/metadata/properties" ma:root="true" ma:fieldsID="e632581fadfa51a52ea46ddb307d92e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C92533-A00E-4590-BF82-3AD0AD2F4644}">
  <ds:schemaRefs>
    <ds:schemaRef ds:uri="http://purl.org/dc/terms/"/>
    <ds:schemaRef ds:uri="http://purl.org/dc/elements/1.1/"/>
    <ds:schemaRef ds:uri="http://schemas.openxmlformats.org/package/2006/metadata/core-properties"/>
    <ds:schemaRef ds:uri="http://www.w3.org/XML/1998/namespace"/>
    <ds:schemaRef ds:uri="http://purl.org/dc/dcmityp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CCBCF076-FC80-42EF-B6F9-967A4F2CED5A}">
  <ds:schemaRefs>
    <ds:schemaRef ds:uri="http://schemas.microsoft.com/sharepoint/v3/contenttype/forms"/>
  </ds:schemaRefs>
</ds:datastoreItem>
</file>

<file path=customXml/itemProps3.xml><?xml version="1.0" encoding="utf-8"?>
<ds:datastoreItem xmlns:ds="http://schemas.openxmlformats.org/officeDocument/2006/customXml" ds:itemID="{680FF822-E82C-4E90-8CA8-6A15BC97E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C53006F-69FF-42F8-9331-A42089E5A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dc:creator>
  <cp:lastModifiedBy>ECHAMP - Amandine Oset</cp:lastModifiedBy>
  <cp:revision>3</cp:revision>
  <cp:lastPrinted>2015-10-14T08:33:00Z</cp:lastPrinted>
  <dcterms:created xsi:type="dcterms:W3CDTF">2016-05-20T13:28:00Z</dcterms:created>
  <dcterms:modified xsi:type="dcterms:W3CDTF">2016-05-20T13:31:00Z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0x0101007FC5B39E25CB6848AA1B182F129A7767</vt:lpwstr>
  </property>
</Properties>
</file>